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D67C8" w14:textId="77777777" w:rsidR="00066642" w:rsidRDefault="00131870">
      <w:pPr>
        <w:jc w:val="center"/>
        <w:rPr>
          <w:rFonts w:hint="eastAsia"/>
        </w:rPr>
      </w:pPr>
      <w:r>
        <w:rPr>
          <w:noProof/>
        </w:rPr>
        <w:drawing>
          <wp:inline distT="0" distB="0" distL="0" distR="0" wp14:anchorId="6716508D" wp14:editId="5E1D1806">
            <wp:extent cx="2011680" cy="20116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stralian_podiatric_medicine_emblem.png"/>
                    <pic:cNvPicPr/>
                  </pic:nvPicPr>
                  <pic:blipFill>
                    <a:blip r:embed="rId8"/>
                    <a:stretch>
                      <a:fillRect/>
                    </a:stretch>
                  </pic:blipFill>
                  <pic:spPr>
                    <a:xfrm>
                      <a:off x="0" y="0"/>
                      <a:ext cx="2011680" cy="2011680"/>
                    </a:xfrm>
                    <a:prstGeom prst="rect">
                      <a:avLst/>
                    </a:prstGeom>
                  </pic:spPr>
                </pic:pic>
              </a:graphicData>
            </a:graphic>
          </wp:inline>
        </w:drawing>
      </w:r>
    </w:p>
    <w:p w14:paraId="76B35000" w14:textId="77777777" w:rsidR="00066642" w:rsidRDefault="00131870">
      <w:pPr>
        <w:jc w:val="center"/>
        <w:rPr>
          <w:rFonts w:hint="eastAsia"/>
        </w:rPr>
      </w:pPr>
      <w:r>
        <w:rPr>
          <w:b/>
          <w:color w:val="122E4A"/>
          <w:sz w:val="36"/>
        </w:rPr>
        <w:t>SOCIETY OF PODIATRIC</w:t>
      </w:r>
      <w:r>
        <w:rPr>
          <w:b/>
          <w:color w:val="122E4A"/>
          <w:sz w:val="36"/>
        </w:rPr>
        <w:br/>
        <w:t>MEDICINE AND SURGERY</w:t>
      </w:r>
    </w:p>
    <w:p w14:paraId="581102DD" w14:textId="77777777" w:rsidR="00066642" w:rsidRDefault="00131870">
      <w:pPr>
        <w:jc w:val="center"/>
        <w:rPr>
          <w:rFonts w:hint="eastAsia"/>
        </w:rPr>
      </w:pPr>
      <w:r>
        <w:rPr>
          <w:b/>
          <w:color w:val="122E4A"/>
          <w:sz w:val="54"/>
        </w:rPr>
        <w:t>CODE OF CONDUCT AND</w:t>
      </w:r>
      <w:r>
        <w:rPr>
          <w:b/>
          <w:color w:val="122E4A"/>
          <w:sz w:val="54"/>
        </w:rPr>
        <w:br/>
        <w:t>PROFESSIONAL STANDARDS</w:t>
      </w:r>
    </w:p>
    <w:p w14:paraId="1FA7C3A9" w14:textId="77777777" w:rsidR="00066642" w:rsidRDefault="00131870">
      <w:pPr>
        <w:pBdr>
          <w:bottom w:val="single" w:sz="12" w:space="4" w:color="B18F41"/>
        </w:pBdr>
        <w:jc w:val="center"/>
        <w:rPr>
          <w:rFonts w:hint="eastAsia"/>
        </w:rPr>
      </w:pPr>
      <w:r>
        <w:rPr>
          <w:b/>
          <w:color w:val="B18F41"/>
          <w:sz w:val="24"/>
        </w:rPr>
        <w:t>FOR MEMBERS OF THE SOCIETY</w:t>
      </w:r>
    </w:p>
    <w:tbl>
      <w:tblPr>
        <w:tblW w:w="0" w:type="auto"/>
        <w:jc w:val="center"/>
        <w:tblLayout w:type="fixed"/>
        <w:tblLook w:val="04A0" w:firstRow="1" w:lastRow="0" w:firstColumn="1" w:lastColumn="0" w:noHBand="0" w:noVBand="1"/>
      </w:tblPr>
      <w:tblGrid>
        <w:gridCol w:w="4997"/>
        <w:gridCol w:w="4997"/>
      </w:tblGrid>
      <w:tr w:rsidR="00066642" w14:paraId="4BBE05AD" w14:textId="77777777">
        <w:trPr>
          <w:jc w:val="center"/>
        </w:trPr>
        <w:tc>
          <w:tcPr>
            <w:tcW w:w="4997" w:type="dxa"/>
            <w:shd w:val="clear" w:color="auto" w:fill="122E4A"/>
            <w:tcMar>
              <w:top w:w="100" w:type="dxa"/>
              <w:left w:w="140" w:type="dxa"/>
              <w:bottom w:w="100" w:type="dxa"/>
              <w:right w:w="140" w:type="dxa"/>
            </w:tcMar>
            <w:vAlign w:val="center"/>
          </w:tcPr>
          <w:p w14:paraId="0209E90A" w14:textId="77777777" w:rsidR="00066642" w:rsidRDefault="00131870">
            <w:pPr>
              <w:rPr>
                <w:rFonts w:hint="eastAsia"/>
              </w:rPr>
            </w:pPr>
            <w:r>
              <w:rPr>
                <w:b/>
                <w:color w:val="FFFFFF"/>
                <w:sz w:val="18"/>
              </w:rPr>
              <w:t>Document</w:t>
            </w:r>
          </w:p>
        </w:tc>
        <w:tc>
          <w:tcPr>
            <w:tcW w:w="4997" w:type="dxa"/>
            <w:shd w:val="clear" w:color="auto" w:fill="F3F5F7"/>
            <w:tcMar>
              <w:top w:w="100" w:type="dxa"/>
              <w:left w:w="140" w:type="dxa"/>
              <w:bottom w:w="100" w:type="dxa"/>
              <w:right w:w="140" w:type="dxa"/>
            </w:tcMar>
            <w:vAlign w:val="center"/>
          </w:tcPr>
          <w:p w14:paraId="513DD26A" w14:textId="77777777" w:rsidR="00066642" w:rsidRDefault="00131870">
            <w:pPr>
              <w:rPr>
                <w:rFonts w:hint="eastAsia"/>
              </w:rPr>
            </w:pPr>
            <w:r>
              <w:rPr>
                <w:sz w:val="18"/>
              </w:rPr>
              <w:t>Code of Conduct and Professional Standards</w:t>
            </w:r>
          </w:p>
        </w:tc>
      </w:tr>
      <w:tr w:rsidR="00066642" w14:paraId="4DF60DF2" w14:textId="77777777">
        <w:trPr>
          <w:jc w:val="center"/>
        </w:trPr>
        <w:tc>
          <w:tcPr>
            <w:tcW w:w="4997" w:type="dxa"/>
            <w:shd w:val="clear" w:color="auto" w:fill="122E4A"/>
            <w:tcMar>
              <w:top w:w="100" w:type="dxa"/>
              <w:left w:w="140" w:type="dxa"/>
              <w:bottom w:w="100" w:type="dxa"/>
              <w:right w:w="140" w:type="dxa"/>
            </w:tcMar>
            <w:vAlign w:val="center"/>
          </w:tcPr>
          <w:p w14:paraId="53EC8E2B" w14:textId="77777777" w:rsidR="00066642" w:rsidRDefault="00131870">
            <w:pPr>
              <w:rPr>
                <w:rFonts w:hint="eastAsia"/>
              </w:rPr>
            </w:pPr>
            <w:r>
              <w:rPr>
                <w:b/>
                <w:color w:val="FFFFFF"/>
                <w:sz w:val="18"/>
              </w:rPr>
              <w:t>Version</w:t>
            </w:r>
          </w:p>
        </w:tc>
        <w:tc>
          <w:tcPr>
            <w:tcW w:w="4997" w:type="dxa"/>
            <w:shd w:val="clear" w:color="auto" w:fill="F3F5F7"/>
            <w:tcMar>
              <w:top w:w="100" w:type="dxa"/>
              <w:left w:w="140" w:type="dxa"/>
              <w:bottom w:w="100" w:type="dxa"/>
              <w:right w:w="140" w:type="dxa"/>
            </w:tcMar>
            <w:vAlign w:val="center"/>
          </w:tcPr>
          <w:p w14:paraId="3516FD09" w14:textId="77777777" w:rsidR="00066642" w:rsidRDefault="00131870">
            <w:pPr>
              <w:rPr>
                <w:rFonts w:hint="eastAsia"/>
              </w:rPr>
            </w:pPr>
            <w:r>
              <w:rPr>
                <w:sz w:val="18"/>
              </w:rPr>
              <w:t>1.0</w:t>
            </w:r>
          </w:p>
        </w:tc>
      </w:tr>
      <w:tr w:rsidR="00066642" w14:paraId="2DAE71D3" w14:textId="77777777">
        <w:trPr>
          <w:jc w:val="center"/>
        </w:trPr>
        <w:tc>
          <w:tcPr>
            <w:tcW w:w="4997" w:type="dxa"/>
            <w:shd w:val="clear" w:color="auto" w:fill="122E4A"/>
            <w:tcMar>
              <w:top w:w="100" w:type="dxa"/>
              <w:left w:w="140" w:type="dxa"/>
              <w:bottom w:w="100" w:type="dxa"/>
              <w:right w:w="140" w:type="dxa"/>
            </w:tcMar>
            <w:vAlign w:val="center"/>
          </w:tcPr>
          <w:p w14:paraId="7381E849" w14:textId="77777777" w:rsidR="00066642" w:rsidRDefault="00131870">
            <w:pPr>
              <w:rPr>
                <w:rFonts w:hint="eastAsia"/>
              </w:rPr>
            </w:pPr>
            <w:r>
              <w:rPr>
                <w:b/>
                <w:color w:val="FFFFFF"/>
                <w:sz w:val="18"/>
              </w:rPr>
              <w:t>Approved by</w:t>
            </w:r>
          </w:p>
        </w:tc>
        <w:tc>
          <w:tcPr>
            <w:tcW w:w="4997" w:type="dxa"/>
            <w:shd w:val="clear" w:color="auto" w:fill="F3F5F7"/>
            <w:tcMar>
              <w:top w:w="100" w:type="dxa"/>
              <w:left w:w="140" w:type="dxa"/>
              <w:bottom w:w="100" w:type="dxa"/>
              <w:right w:w="140" w:type="dxa"/>
            </w:tcMar>
            <w:vAlign w:val="center"/>
          </w:tcPr>
          <w:p w14:paraId="59B91D86" w14:textId="77777777" w:rsidR="00066642" w:rsidRDefault="00131870">
            <w:pPr>
              <w:rPr>
                <w:rFonts w:hint="eastAsia"/>
              </w:rPr>
            </w:pPr>
            <w:r>
              <w:rPr>
                <w:sz w:val="18"/>
              </w:rPr>
              <w:t>Board/Council of the Society</w:t>
            </w:r>
          </w:p>
        </w:tc>
      </w:tr>
      <w:tr w:rsidR="00066642" w14:paraId="4BECA9CA" w14:textId="77777777">
        <w:trPr>
          <w:jc w:val="center"/>
        </w:trPr>
        <w:tc>
          <w:tcPr>
            <w:tcW w:w="4997" w:type="dxa"/>
            <w:shd w:val="clear" w:color="auto" w:fill="122E4A"/>
            <w:tcMar>
              <w:top w:w="100" w:type="dxa"/>
              <w:left w:w="140" w:type="dxa"/>
              <w:bottom w:w="100" w:type="dxa"/>
              <w:right w:w="140" w:type="dxa"/>
            </w:tcMar>
            <w:vAlign w:val="center"/>
          </w:tcPr>
          <w:p w14:paraId="185184D2" w14:textId="77777777" w:rsidR="00066642" w:rsidRDefault="00131870">
            <w:pPr>
              <w:rPr>
                <w:rFonts w:hint="eastAsia"/>
              </w:rPr>
            </w:pPr>
            <w:r>
              <w:rPr>
                <w:b/>
                <w:color w:val="FFFFFF"/>
                <w:sz w:val="18"/>
              </w:rPr>
              <w:t>Effective date</w:t>
            </w:r>
          </w:p>
        </w:tc>
        <w:tc>
          <w:tcPr>
            <w:tcW w:w="4997" w:type="dxa"/>
            <w:shd w:val="clear" w:color="auto" w:fill="F3F5F7"/>
            <w:tcMar>
              <w:top w:w="100" w:type="dxa"/>
              <w:left w:w="140" w:type="dxa"/>
              <w:bottom w:w="100" w:type="dxa"/>
              <w:right w:w="140" w:type="dxa"/>
            </w:tcMar>
            <w:vAlign w:val="center"/>
          </w:tcPr>
          <w:p w14:paraId="0A61259D" w14:textId="77777777" w:rsidR="00066642" w:rsidRDefault="00131870">
            <w:pPr>
              <w:rPr>
                <w:rFonts w:hint="eastAsia"/>
              </w:rPr>
            </w:pPr>
            <w:r>
              <w:rPr>
                <w:sz w:val="18"/>
              </w:rPr>
              <w:t>[Insert date]</w:t>
            </w:r>
          </w:p>
        </w:tc>
      </w:tr>
      <w:tr w:rsidR="00066642" w14:paraId="6CE8B87E" w14:textId="77777777">
        <w:trPr>
          <w:jc w:val="center"/>
        </w:trPr>
        <w:tc>
          <w:tcPr>
            <w:tcW w:w="4997" w:type="dxa"/>
            <w:shd w:val="clear" w:color="auto" w:fill="122E4A"/>
            <w:tcMar>
              <w:top w:w="100" w:type="dxa"/>
              <w:left w:w="140" w:type="dxa"/>
              <w:bottom w:w="100" w:type="dxa"/>
              <w:right w:w="140" w:type="dxa"/>
            </w:tcMar>
            <w:vAlign w:val="center"/>
          </w:tcPr>
          <w:p w14:paraId="513A753C" w14:textId="77777777" w:rsidR="00066642" w:rsidRDefault="00131870">
            <w:pPr>
              <w:rPr>
                <w:rFonts w:hint="eastAsia"/>
              </w:rPr>
            </w:pPr>
            <w:r>
              <w:rPr>
                <w:b/>
                <w:color w:val="FFFFFF"/>
                <w:sz w:val="18"/>
              </w:rPr>
              <w:t>Review date</w:t>
            </w:r>
          </w:p>
        </w:tc>
        <w:tc>
          <w:tcPr>
            <w:tcW w:w="4997" w:type="dxa"/>
            <w:shd w:val="clear" w:color="auto" w:fill="F3F5F7"/>
            <w:tcMar>
              <w:top w:w="100" w:type="dxa"/>
              <w:left w:w="140" w:type="dxa"/>
              <w:bottom w:w="100" w:type="dxa"/>
              <w:right w:w="140" w:type="dxa"/>
            </w:tcMar>
            <w:vAlign w:val="center"/>
          </w:tcPr>
          <w:p w14:paraId="4AB06A3E" w14:textId="77777777" w:rsidR="00066642" w:rsidRDefault="00131870">
            <w:pPr>
              <w:rPr>
                <w:rFonts w:hint="eastAsia"/>
              </w:rPr>
            </w:pPr>
            <w:r>
              <w:rPr>
                <w:sz w:val="18"/>
              </w:rPr>
              <w:t>[Insert date]</w:t>
            </w:r>
          </w:p>
        </w:tc>
      </w:tr>
    </w:tbl>
    <w:p w14:paraId="36FAB029" w14:textId="77777777" w:rsidR="00066642" w:rsidRDefault="00131870">
      <w:pPr>
        <w:spacing w:before="440"/>
        <w:jc w:val="center"/>
        <w:rPr>
          <w:rFonts w:hint="eastAsia"/>
        </w:rPr>
      </w:pPr>
      <w:r>
        <w:rPr>
          <w:i/>
          <w:color w:val="4B5563"/>
          <w:sz w:val="20"/>
        </w:rPr>
        <w:t>Professional • Ethical • Evidence-informed • Patient-centred • Accountable</w:t>
      </w:r>
    </w:p>
    <w:p w14:paraId="4A44EE6F" w14:textId="77777777" w:rsidR="00066642" w:rsidRDefault="00131870">
      <w:pPr>
        <w:rPr>
          <w:rFonts w:hint="eastAsia"/>
        </w:rPr>
      </w:pPr>
      <w:r>
        <w:br w:type="page"/>
      </w:r>
    </w:p>
    <w:p w14:paraId="517BF47C" w14:textId="77777777" w:rsidR="00066642" w:rsidRDefault="00131870">
      <w:pPr>
        <w:pStyle w:val="Heading1"/>
        <w:pBdr>
          <w:bottom w:val="single" w:sz="8" w:space="4" w:color="B18F41"/>
        </w:pBdr>
      </w:pPr>
      <w:r>
        <w:lastRenderedPageBreak/>
        <w:t>DOCUMENT STATUS</w:t>
      </w:r>
    </w:p>
    <w:tbl>
      <w:tblPr>
        <w:tblW w:w="0" w:type="auto"/>
        <w:jc w:val="center"/>
        <w:tblLook w:val="04A0" w:firstRow="1" w:lastRow="0" w:firstColumn="1" w:lastColumn="0" w:noHBand="0" w:noVBand="1"/>
      </w:tblPr>
      <w:tblGrid>
        <w:gridCol w:w="9994"/>
      </w:tblGrid>
      <w:tr w:rsidR="00066642" w14:paraId="1CADFD6E" w14:textId="77777777">
        <w:trPr>
          <w:jc w:val="center"/>
        </w:trPr>
        <w:tc>
          <w:tcPr>
            <w:tcW w:w="9994" w:type="dxa"/>
            <w:shd w:val="clear" w:color="auto" w:fill="F3F5F7"/>
            <w:tcMar>
              <w:top w:w="180" w:type="dxa"/>
              <w:left w:w="200" w:type="dxa"/>
              <w:bottom w:w="180" w:type="dxa"/>
              <w:right w:w="200" w:type="dxa"/>
            </w:tcMar>
          </w:tcPr>
          <w:p w14:paraId="1B5F22EC" w14:textId="77777777" w:rsidR="00066642" w:rsidRDefault="00131870">
            <w:pPr>
              <w:rPr>
                <w:rFonts w:hint="eastAsia"/>
              </w:rPr>
            </w:pPr>
            <w:r>
              <w:rPr>
                <w:b/>
                <w:color w:val="122E4A"/>
              </w:rPr>
              <w:t>Important regulatory note</w:t>
            </w:r>
          </w:p>
          <w:p w14:paraId="2BCB8476" w14:textId="77777777" w:rsidR="00066642" w:rsidRDefault="00131870">
            <w:pPr>
              <w:rPr>
                <w:rFonts w:hint="eastAsia"/>
              </w:rPr>
            </w:pPr>
            <w:r>
              <w:t xml:space="preserve">This document establishes Society membership standards. It complements, but does not replace, </w:t>
            </w:r>
            <w:r>
              <w:t>obligations imposed by the Health Practitioner Regulation National Law, the Podiatry Board of Australia, Ahpra, other regulators, health complaints bodies, applicable legislation, credentialing bodies and health-service policies. Where a legal or regulatory requirement imposes a higher standard, that requirement prevails.</w:t>
            </w:r>
          </w:p>
          <w:p w14:paraId="39A57CB5" w14:textId="77777777" w:rsidR="00066642" w:rsidRDefault="00131870">
            <w:pPr>
              <w:rPr>
                <w:rFonts w:hint="eastAsia"/>
              </w:rPr>
            </w:pPr>
            <w:r>
              <w:t>The Society uses the term “Podiatric Specialist” as its preferred professional terminology. Members must nevertheless describe their statutory registration, qualifications, endorsements and specialist status accurately and in accordance with the National Law and current Podiatry Board requirements.</w:t>
            </w:r>
          </w:p>
        </w:tc>
      </w:tr>
    </w:tbl>
    <w:p w14:paraId="59E017FC" w14:textId="77777777" w:rsidR="00066642" w:rsidRDefault="00131870">
      <w:pPr>
        <w:pStyle w:val="Heading2"/>
      </w:pPr>
      <w:r>
        <w:t>Regulatory alignment</w:t>
      </w:r>
    </w:p>
    <w:p w14:paraId="05051324" w14:textId="77777777" w:rsidR="00066642" w:rsidRDefault="00131870">
      <w:pPr>
        <w:pStyle w:val="ListBullet"/>
        <w:rPr>
          <w:rFonts w:hint="eastAsia"/>
        </w:rPr>
      </w:pPr>
      <w:r>
        <w:t>Ahpra and National Boards – Shared Code of Conduct for registered health practitioners (applies to podiatry).</w:t>
      </w:r>
    </w:p>
    <w:p w14:paraId="2EBBF178" w14:textId="77777777" w:rsidR="00066642" w:rsidRDefault="00131870">
      <w:pPr>
        <w:pStyle w:val="ListBullet"/>
        <w:rPr>
          <w:rFonts w:hint="eastAsia"/>
        </w:rPr>
      </w:pPr>
      <w:r>
        <w:t>Podiatry Board of Australia – current registration standards, codes, guidelines and policies.</w:t>
      </w:r>
    </w:p>
    <w:p w14:paraId="7B2B5491" w14:textId="77777777" w:rsidR="00066642" w:rsidRDefault="00131870">
      <w:pPr>
        <w:pStyle w:val="ListBullet"/>
        <w:rPr>
          <w:rFonts w:hint="eastAsia"/>
        </w:rPr>
      </w:pPr>
      <w:r>
        <w:t>Podiatry Board of Australia – specialist registration requirements and accreditation/capability standards relevant to specialist podiatry practice.</w:t>
      </w:r>
    </w:p>
    <w:p w14:paraId="485845EC" w14:textId="77777777" w:rsidR="00066642" w:rsidRDefault="00131870">
      <w:pPr>
        <w:pStyle w:val="ListBullet"/>
        <w:rPr>
          <w:rFonts w:hint="eastAsia"/>
        </w:rPr>
      </w:pPr>
      <w:r>
        <w:t>Applicable Commonwealth, state and territory laws governing privacy, health records, medicines, infection prevention, radiation, health facilities, advertising and mandatory notifications.</w:t>
      </w:r>
    </w:p>
    <w:p w14:paraId="7D7F4353" w14:textId="77777777" w:rsidR="00066642" w:rsidRDefault="00131870">
      <w:pPr>
        <w:pStyle w:val="Heading1"/>
        <w:pBdr>
          <w:bottom w:val="single" w:sz="8" w:space="4" w:color="B18F41"/>
        </w:pBdr>
      </w:pPr>
      <w:r>
        <w:t>CONTENTS AT A GLANCE</w:t>
      </w:r>
    </w:p>
    <w:tbl>
      <w:tblPr>
        <w:tblStyle w:val="TableGrid"/>
        <w:tblW w:w="0" w:type="auto"/>
        <w:jc w:val="center"/>
        <w:tblLook w:val="04A0" w:firstRow="1" w:lastRow="0" w:firstColumn="1" w:lastColumn="0" w:noHBand="0" w:noVBand="1"/>
      </w:tblPr>
      <w:tblGrid>
        <w:gridCol w:w="4991"/>
        <w:gridCol w:w="4993"/>
      </w:tblGrid>
      <w:tr w:rsidR="00066642" w14:paraId="08A79048" w14:textId="77777777">
        <w:trPr>
          <w:tblHeader/>
          <w:jc w:val="center"/>
        </w:trPr>
        <w:tc>
          <w:tcPr>
            <w:tcW w:w="4997" w:type="dxa"/>
            <w:shd w:val="clear" w:color="auto" w:fill="122E4A"/>
          </w:tcPr>
          <w:p w14:paraId="1646CA21" w14:textId="77777777" w:rsidR="00066642" w:rsidRDefault="00131870">
            <w:pPr>
              <w:rPr>
                <w:rFonts w:hint="eastAsia"/>
              </w:rPr>
            </w:pPr>
            <w:r>
              <w:rPr>
                <w:b/>
                <w:color w:val="FFFFFF"/>
              </w:rPr>
              <w:t>Part</w:t>
            </w:r>
          </w:p>
        </w:tc>
        <w:tc>
          <w:tcPr>
            <w:tcW w:w="4997" w:type="dxa"/>
            <w:shd w:val="clear" w:color="auto" w:fill="122E4A"/>
          </w:tcPr>
          <w:p w14:paraId="34C51AF2" w14:textId="77777777" w:rsidR="00066642" w:rsidRDefault="00131870">
            <w:pPr>
              <w:rPr>
                <w:rFonts w:hint="eastAsia"/>
              </w:rPr>
            </w:pPr>
            <w:r>
              <w:rPr>
                <w:b/>
                <w:color w:val="FFFFFF"/>
              </w:rPr>
              <w:t>Subject</w:t>
            </w:r>
          </w:p>
        </w:tc>
      </w:tr>
      <w:tr w:rsidR="00066642" w14:paraId="08EB03CB" w14:textId="77777777">
        <w:trPr>
          <w:jc w:val="center"/>
        </w:trPr>
        <w:tc>
          <w:tcPr>
            <w:tcW w:w="4997" w:type="dxa"/>
            <w:tcMar>
              <w:top w:w="100" w:type="dxa"/>
              <w:left w:w="120" w:type="dxa"/>
              <w:bottom w:w="100" w:type="dxa"/>
              <w:right w:w="120" w:type="dxa"/>
            </w:tcMar>
          </w:tcPr>
          <w:p w14:paraId="1F56CFE2" w14:textId="77777777" w:rsidR="00066642" w:rsidRDefault="00131870">
            <w:pPr>
              <w:rPr>
                <w:rFonts w:hint="eastAsia"/>
              </w:rPr>
            </w:pPr>
            <w:r>
              <w:t>A</w:t>
            </w:r>
          </w:p>
        </w:tc>
        <w:tc>
          <w:tcPr>
            <w:tcW w:w="4997" w:type="dxa"/>
            <w:tcMar>
              <w:top w:w="100" w:type="dxa"/>
              <w:left w:w="120" w:type="dxa"/>
              <w:bottom w:w="100" w:type="dxa"/>
              <w:right w:w="120" w:type="dxa"/>
            </w:tcMar>
          </w:tcPr>
          <w:p w14:paraId="6071CDA4" w14:textId="77777777" w:rsidR="00066642" w:rsidRDefault="00131870">
            <w:pPr>
              <w:rPr>
                <w:rFonts w:hint="eastAsia"/>
              </w:rPr>
            </w:pPr>
            <w:r>
              <w:t>General Professional Conduct</w:t>
            </w:r>
          </w:p>
        </w:tc>
      </w:tr>
      <w:tr w:rsidR="00066642" w14:paraId="01D3232E" w14:textId="77777777">
        <w:trPr>
          <w:jc w:val="center"/>
        </w:trPr>
        <w:tc>
          <w:tcPr>
            <w:tcW w:w="4997" w:type="dxa"/>
            <w:tcMar>
              <w:top w:w="100" w:type="dxa"/>
              <w:left w:w="120" w:type="dxa"/>
              <w:bottom w:w="100" w:type="dxa"/>
              <w:right w:w="120" w:type="dxa"/>
            </w:tcMar>
          </w:tcPr>
          <w:p w14:paraId="3AFD35D9" w14:textId="77777777" w:rsidR="00066642" w:rsidRDefault="00131870">
            <w:pPr>
              <w:rPr>
                <w:rFonts w:hint="eastAsia"/>
              </w:rPr>
            </w:pPr>
            <w:r>
              <w:t>B</w:t>
            </w:r>
          </w:p>
        </w:tc>
        <w:tc>
          <w:tcPr>
            <w:tcW w:w="4997" w:type="dxa"/>
            <w:tcMar>
              <w:top w:w="100" w:type="dxa"/>
              <w:left w:w="120" w:type="dxa"/>
              <w:bottom w:w="100" w:type="dxa"/>
              <w:right w:w="120" w:type="dxa"/>
            </w:tcMar>
          </w:tcPr>
          <w:p w14:paraId="1F079B07" w14:textId="77777777" w:rsidR="00066642" w:rsidRDefault="00131870">
            <w:pPr>
              <w:rPr>
                <w:rFonts w:hint="eastAsia"/>
              </w:rPr>
            </w:pPr>
            <w:r>
              <w:t xml:space="preserve">Fundamental </w:t>
            </w:r>
            <w:r>
              <w:t>Professional Principles</w:t>
            </w:r>
          </w:p>
        </w:tc>
      </w:tr>
      <w:tr w:rsidR="00066642" w14:paraId="5757CC3E" w14:textId="77777777">
        <w:trPr>
          <w:jc w:val="center"/>
        </w:trPr>
        <w:tc>
          <w:tcPr>
            <w:tcW w:w="4997" w:type="dxa"/>
            <w:tcMar>
              <w:top w:w="100" w:type="dxa"/>
              <w:left w:w="120" w:type="dxa"/>
              <w:bottom w:w="100" w:type="dxa"/>
              <w:right w:w="120" w:type="dxa"/>
            </w:tcMar>
          </w:tcPr>
          <w:p w14:paraId="1BF941B4" w14:textId="77777777" w:rsidR="00066642" w:rsidRDefault="00131870">
            <w:pPr>
              <w:rPr>
                <w:rFonts w:hint="eastAsia"/>
              </w:rPr>
            </w:pPr>
            <w:r>
              <w:t>C</w:t>
            </w:r>
          </w:p>
        </w:tc>
        <w:tc>
          <w:tcPr>
            <w:tcW w:w="4997" w:type="dxa"/>
            <w:tcMar>
              <w:top w:w="100" w:type="dxa"/>
              <w:left w:w="120" w:type="dxa"/>
              <w:bottom w:w="100" w:type="dxa"/>
              <w:right w:w="120" w:type="dxa"/>
            </w:tcMar>
          </w:tcPr>
          <w:p w14:paraId="445A4D64" w14:textId="77777777" w:rsidR="00066642" w:rsidRDefault="00131870">
            <w:pPr>
              <w:rPr>
                <w:rFonts w:hint="eastAsia"/>
              </w:rPr>
            </w:pPr>
            <w:r>
              <w:t>Clinical Professional Standards</w:t>
            </w:r>
          </w:p>
        </w:tc>
      </w:tr>
      <w:tr w:rsidR="00066642" w14:paraId="688EA788" w14:textId="77777777">
        <w:trPr>
          <w:jc w:val="center"/>
        </w:trPr>
        <w:tc>
          <w:tcPr>
            <w:tcW w:w="4997" w:type="dxa"/>
            <w:tcMar>
              <w:top w:w="100" w:type="dxa"/>
              <w:left w:w="120" w:type="dxa"/>
              <w:bottom w:w="100" w:type="dxa"/>
              <w:right w:w="120" w:type="dxa"/>
            </w:tcMar>
          </w:tcPr>
          <w:p w14:paraId="5E435B56" w14:textId="77777777" w:rsidR="00066642" w:rsidRDefault="00131870">
            <w:pPr>
              <w:rPr>
                <w:rFonts w:hint="eastAsia"/>
              </w:rPr>
            </w:pPr>
            <w:r>
              <w:t>D</w:t>
            </w:r>
          </w:p>
        </w:tc>
        <w:tc>
          <w:tcPr>
            <w:tcW w:w="4997" w:type="dxa"/>
            <w:tcMar>
              <w:top w:w="100" w:type="dxa"/>
              <w:left w:w="120" w:type="dxa"/>
              <w:bottom w:w="100" w:type="dxa"/>
              <w:right w:w="120" w:type="dxa"/>
            </w:tcMar>
          </w:tcPr>
          <w:p w14:paraId="5913D2E6" w14:textId="77777777" w:rsidR="00066642" w:rsidRDefault="00131870">
            <w:pPr>
              <w:rPr>
                <w:rFonts w:hint="eastAsia"/>
              </w:rPr>
            </w:pPr>
            <w:r>
              <w:t>Standards Specific to Podiatric Specialist Practice</w:t>
            </w:r>
          </w:p>
        </w:tc>
      </w:tr>
      <w:tr w:rsidR="00066642" w14:paraId="30E6ED6C" w14:textId="77777777">
        <w:trPr>
          <w:jc w:val="center"/>
        </w:trPr>
        <w:tc>
          <w:tcPr>
            <w:tcW w:w="4997" w:type="dxa"/>
            <w:tcMar>
              <w:top w:w="100" w:type="dxa"/>
              <w:left w:w="120" w:type="dxa"/>
              <w:bottom w:w="100" w:type="dxa"/>
              <w:right w:w="120" w:type="dxa"/>
            </w:tcMar>
          </w:tcPr>
          <w:p w14:paraId="43BDEE6A" w14:textId="77777777" w:rsidR="00066642" w:rsidRDefault="00131870">
            <w:pPr>
              <w:rPr>
                <w:rFonts w:hint="eastAsia"/>
              </w:rPr>
            </w:pPr>
            <w:r>
              <w:t>E</w:t>
            </w:r>
          </w:p>
        </w:tc>
        <w:tc>
          <w:tcPr>
            <w:tcW w:w="4997" w:type="dxa"/>
            <w:tcMar>
              <w:top w:w="100" w:type="dxa"/>
              <w:left w:w="120" w:type="dxa"/>
              <w:bottom w:w="100" w:type="dxa"/>
              <w:right w:w="120" w:type="dxa"/>
            </w:tcMar>
          </w:tcPr>
          <w:p w14:paraId="68702276" w14:textId="77777777" w:rsidR="00066642" w:rsidRDefault="00131870">
            <w:pPr>
              <w:rPr>
                <w:rFonts w:hint="eastAsia"/>
              </w:rPr>
            </w:pPr>
            <w:r>
              <w:t>Medicines and Prescribing</w:t>
            </w:r>
          </w:p>
        </w:tc>
      </w:tr>
      <w:tr w:rsidR="00066642" w14:paraId="5A9CDE21" w14:textId="77777777">
        <w:trPr>
          <w:jc w:val="center"/>
        </w:trPr>
        <w:tc>
          <w:tcPr>
            <w:tcW w:w="4997" w:type="dxa"/>
            <w:tcMar>
              <w:top w:w="100" w:type="dxa"/>
              <w:left w:w="120" w:type="dxa"/>
              <w:bottom w:w="100" w:type="dxa"/>
              <w:right w:w="120" w:type="dxa"/>
            </w:tcMar>
          </w:tcPr>
          <w:p w14:paraId="262F18EF" w14:textId="77777777" w:rsidR="00066642" w:rsidRDefault="00131870">
            <w:pPr>
              <w:rPr>
                <w:rFonts w:hint="eastAsia"/>
              </w:rPr>
            </w:pPr>
            <w:r>
              <w:t>F</w:t>
            </w:r>
          </w:p>
        </w:tc>
        <w:tc>
          <w:tcPr>
            <w:tcW w:w="4997" w:type="dxa"/>
            <w:tcMar>
              <w:top w:w="100" w:type="dxa"/>
              <w:left w:w="120" w:type="dxa"/>
              <w:bottom w:w="100" w:type="dxa"/>
              <w:right w:w="120" w:type="dxa"/>
            </w:tcMar>
          </w:tcPr>
          <w:p w14:paraId="77DC5459" w14:textId="77777777" w:rsidR="00066642" w:rsidRDefault="00131870">
            <w:pPr>
              <w:rPr>
                <w:rFonts w:hint="eastAsia"/>
              </w:rPr>
            </w:pPr>
            <w:r>
              <w:t>Communication, Records and Confidentiality</w:t>
            </w:r>
          </w:p>
        </w:tc>
      </w:tr>
      <w:tr w:rsidR="00066642" w14:paraId="3D78FBE6" w14:textId="77777777">
        <w:trPr>
          <w:jc w:val="center"/>
        </w:trPr>
        <w:tc>
          <w:tcPr>
            <w:tcW w:w="4997" w:type="dxa"/>
            <w:tcMar>
              <w:top w:w="100" w:type="dxa"/>
              <w:left w:w="120" w:type="dxa"/>
              <w:bottom w:w="100" w:type="dxa"/>
              <w:right w:w="120" w:type="dxa"/>
            </w:tcMar>
          </w:tcPr>
          <w:p w14:paraId="4F02854F" w14:textId="77777777" w:rsidR="00066642" w:rsidRDefault="00131870">
            <w:pPr>
              <w:rPr>
                <w:rFonts w:hint="eastAsia"/>
              </w:rPr>
            </w:pPr>
            <w:r>
              <w:t>G</w:t>
            </w:r>
          </w:p>
        </w:tc>
        <w:tc>
          <w:tcPr>
            <w:tcW w:w="4997" w:type="dxa"/>
            <w:tcMar>
              <w:top w:w="100" w:type="dxa"/>
              <w:left w:w="120" w:type="dxa"/>
              <w:bottom w:w="100" w:type="dxa"/>
              <w:right w:w="120" w:type="dxa"/>
            </w:tcMar>
          </w:tcPr>
          <w:p w14:paraId="2EC10210" w14:textId="77777777" w:rsidR="00066642" w:rsidRDefault="00131870">
            <w:pPr>
              <w:rPr>
                <w:rFonts w:hint="eastAsia"/>
              </w:rPr>
            </w:pPr>
            <w:r>
              <w:t>Colleagues and the Healthcare Team</w:t>
            </w:r>
          </w:p>
        </w:tc>
      </w:tr>
      <w:tr w:rsidR="00066642" w14:paraId="082AF9F3" w14:textId="77777777">
        <w:trPr>
          <w:jc w:val="center"/>
        </w:trPr>
        <w:tc>
          <w:tcPr>
            <w:tcW w:w="4997" w:type="dxa"/>
            <w:tcMar>
              <w:top w:w="100" w:type="dxa"/>
              <w:left w:w="120" w:type="dxa"/>
              <w:bottom w:w="100" w:type="dxa"/>
              <w:right w:w="120" w:type="dxa"/>
            </w:tcMar>
          </w:tcPr>
          <w:p w14:paraId="65648975" w14:textId="77777777" w:rsidR="00066642" w:rsidRDefault="00131870">
            <w:pPr>
              <w:rPr>
                <w:rFonts w:hint="eastAsia"/>
              </w:rPr>
            </w:pPr>
            <w:r>
              <w:t>H</w:t>
            </w:r>
          </w:p>
        </w:tc>
        <w:tc>
          <w:tcPr>
            <w:tcW w:w="4997" w:type="dxa"/>
            <w:tcMar>
              <w:top w:w="100" w:type="dxa"/>
              <w:left w:w="120" w:type="dxa"/>
              <w:bottom w:w="100" w:type="dxa"/>
              <w:right w:w="120" w:type="dxa"/>
            </w:tcMar>
          </w:tcPr>
          <w:p w14:paraId="5CFA44B7" w14:textId="77777777" w:rsidR="00066642" w:rsidRDefault="00131870">
            <w:pPr>
              <w:rPr>
                <w:rFonts w:hint="eastAsia"/>
              </w:rPr>
            </w:pPr>
            <w:r>
              <w:t xml:space="preserve">Professional </w:t>
            </w:r>
            <w:r>
              <w:t>Integrity</w:t>
            </w:r>
          </w:p>
        </w:tc>
      </w:tr>
      <w:tr w:rsidR="00066642" w14:paraId="2BAC9E30" w14:textId="77777777">
        <w:trPr>
          <w:jc w:val="center"/>
        </w:trPr>
        <w:tc>
          <w:tcPr>
            <w:tcW w:w="4997" w:type="dxa"/>
            <w:tcMar>
              <w:top w:w="100" w:type="dxa"/>
              <w:left w:w="120" w:type="dxa"/>
              <w:bottom w:w="100" w:type="dxa"/>
              <w:right w:w="120" w:type="dxa"/>
            </w:tcMar>
          </w:tcPr>
          <w:p w14:paraId="73C38E1B" w14:textId="77777777" w:rsidR="00066642" w:rsidRDefault="00131870">
            <w:pPr>
              <w:rPr>
                <w:rFonts w:hint="eastAsia"/>
              </w:rPr>
            </w:pPr>
            <w:r>
              <w:t>I</w:t>
            </w:r>
          </w:p>
        </w:tc>
        <w:tc>
          <w:tcPr>
            <w:tcW w:w="4997" w:type="dxa"/>
            <w:tcMar>
              <w:top w:w="100" w:type="dxa"/>
              <w:left w:w="120" w:type="dxa"/>
              <w:bottom w:w="100" w:type="dxa"/>
              <w:right w:w="120" w:type="dxa"/>
            </w:tcMar>
          </w:tcPr>
          <w:p w14:paraId="302F8FCE" w14:textId="77777777" w:rsidR="00066642" w:rsidRDefault="00131870">
            <w:pPr>
              <w:rPr>
                <w:rFonts w:hint="eastAsia"/>
              </w:rPr>
            </w:pPr>
            <w:r>
              <w:t>Advertising and Public Representation</w:t>
            </w:r>
          </w:p>
        </w:tc>
      </w:tr>
      <w:tr w:rsidR="00066642" w14:paraId="609A597B" w14:textId="77777777">
        <w:trPr>
          <w:jc w:val="center"/>
        </w:trPr>
        <w:tc>
          <w:tcPr>
            <w:tcW w:w="4997" w:type="dxa"/>
            <w:tcMar>
              <w:top w:w="100" w:type="dxa"/>
              <w:left w:w="120" w:type="dxa"/>
              <w:bottom w:w="100" w:type="dxa"/>
              <w:right w:w="120" w:type="dxa"/>
            </w:tcMar>
          </w:tcPr>
          <w:p w14:paraId="183D74CD" w14:textId="77777777" w:rsidR="00066642" w:rsidRDefault="00131870">
            <w:pPr>
              <w:rPr>
                <w:rFonts w:hint="eastAsia"/>
              </w:rPr>
            </w:pPr>
            <w:r>
              <w:lastRenderedPageBreak/>
              <w:t>J</w:t>
            </w:r>
          </w:p>
        </w:tc>
        <w:tc>
          <w:tcPr>
            <w:tcW w:w="4997" w:type="dxa"/>
            <w:tcMar>
              <w:top w:w="100" w:type="dxa"/>
              <w:left w:w="120" w:type="dxa"/>
              <w:bottom w:w="100" w:type="dxa"/>
              <w:right w:w="120" w:type="dxa"/>
            </w:tcMar>
          </w:tcPr>
          <w:p w14:paraId="08B69C64" w14:textId="77777777" w:rsidR="00066642" w:rsidRDefault="00131870">
            <w:pPr>
              <w:rPr>
                <w:rFonts w:hint="eastAsia"/>
              </w:rPr>
            </w:pPr>
            <w:r>
              <w:t>Teaching, Supervision and Research</w:t>
            </w:r>
          </w:p>
        </w:tc>
      </w:tr>
      <w:tr w:rsidR="00066642" w14:paraId="3D764057" w14:textId="77777777">
        <w:trPr>
          <w:jc w:val="center"/>
        </w:trPr>
        <w:tc>
          <w:tcPr>
            <w:tcW w:w="4997" w:type="dxa"/>
            <w:tcMar>
              <w:top w:w="100" w:type="dxa"/>
              <w:left w:w="120" w:type="dxa"/>
              <w:bottom w:w="100" w:type="dxa"/>
              <w:right w:w="120" w:type="dxa"/>
            </w:tcMar>
          </w:tcPr>
          <w:p w14:paraId="1C67A385" w14:textId="77777777" w:rsidR="00066642" w:rsidRDefault="00131870">
            <w:pPr>
              <w:rPr>
                <w:rFonts w:hint="eastAsia"/>
              </w:rPr>
            </w:pPr>
            <w:r>
              <w:t>K</w:t>
            </w:r>
          </w:p>
        </w:tc>
        <w:tc>
          <w:tcPr>
            <w:tcW w:w="4997" w:type="dxa"/>
            <w:tcMar>
              <w:top w:w="100" w:type="dxa"/>
              <w:left w:w="120" w:type="dxa"/>
              <w:bottom w:w="100" w:type="dxa"/>
              <w:right w:w="120" w:type="dxa"/>
            </w:tcMar>
          </w:tcPr>
          <w:p w14:paraId="4EF8E501" w14:textId="77777777" w:rsidR="00066642" w:rsidRDefault="00131870">
            <w:pPr>
              <w:rPr>
                <w:rFonts w:hint="eastAsia"/>
              </w:rPr>
            </w:pPr>
            <w:r>
              <w:t>Professional Development</w:t>
            </w:r>
          </w:p>
        </w:tc>
      </w:tr>
      <w:tr w:rsidR="00066642" w14:paraId="78001AA5" w14:textId="77777777">
        <w:trPr>
          <w:jc w:val="center"/>
        </w:trPr>
        <w:tc>
          <w:tcPr>
            <w:tcW w:w="4997" w:type="dxa"/>
            <w:tcMar>
              <w:top w:w="100" w:type="dxa"/>
              <w:left w:w="120" w:type="dxa"/>
              <w:bottom w:w="100" w:type="dxa"/>
              <w:right w:w="120" w:type="dxa"/>
            </w:tcMar>
          </w:tcPr>
          <w:p w14:paraId="7C8F0F6F" w14:textId="77777777" w:rsidR="00066642" w:rsidRDefault="00131870">
            <w:pPr>
              <w:rPr>
                <w:rFonts w:hint="eastAsia"/>
              </w:rPr>
            </w:pPr>
            <w:r>
              <w:t>L</w:t>
            </w:r>
          </w:p>
        </w:tc>
        <w:tc>
          <w:tcPr>
            <w:tcW w:w="4997" w:type="dxa"/>
            <w:tcMar>
              <w:top w:w="100" w:type="dxa"/>
              <w:left w:w="120" w:type="dxa"/>
              <w:bottom w:w="100" w:type="dxa"/>
              <w:right w:w="120" w:type="dxa"/>
            </w:tcMar>
          </w:tcPr>
          <w:p w14:paraId="1750209E" w14:textId="77777777" w:rsidR="00066642" w:rsidRDefault="00131870">
            <w:pPr>
              <w:rPr>
                <w:rFonts w:hint="eastAsia"/>
              </w:rPr>
            </w:pPr>
            <w:r>
              <w:t>Practitioner Health and Fitness to Practise</w:t>
            </w:r>
          </w:p>
        </w:tc>
      </w:tr>
      <w:tr w:rsidR="00066642" w14:paraId="560DC578" w14:textId="77777777">
        <w:trPr>
          <w:jc w:val="center"/>
        </w:trPr>
        <w:tc>
          <w:tcPr>
            <w:tcW w:w="4997" w:type="dxa"/>
            <w:tcMar>
              <w:top w:w="100" w:type="dxa"/>
              <w:left w:w="120" w:type="dxa"/>
              <w:bottom w:w="100" w:type="dxa"/>
              <w:right w:w="120" w:type="dxa"/>
            </w:tcMar>
          </w:tcPr>
          <w:p w14:paraId="370B368F" w14:textId="77777777" w:rsidR="00066642" w:rsidRDefault="00131870">
            <w:pPr>
              <w:rPr>
                <w:rFonts w:hint="eastAsia"/>
              </w:rPr>
            </w:pPr>
            <w:r>
              <w:t>M</w:t>
            </w:r>
          </w:p>
        </w:tc>
        <w:tc>
          <w:tcPr>
            <w:tcW w:w="4997" w:type="dxa"/>
            <w:tcMar>
              <w:top w:w="100" w:type="dxa"/>
              <w:left w:w="120" w:type="dxa"/>
              <w:bottom w:w="100" w:type="dxa"/>
              <w:right w:w="120" w:type="dxa"/>
            </w:tcMar>
          </w:tcPr>
          <w:p w14:paraId="4438E749" w14:textId="77777777" w:rsidR="00066642" w:rsidRDefault="00131870">
            <w:pPr>
              <w:rPr>
                <w:rFonts w:hint="eastAsia"/>
              </w:rPr>
            </w:pPr>
            <w:r>
              <w:t>Patient Safety, Incidents and Complaints</w:t>
            </w:r>
          </w:p>
        </w:tc>
      </w:tr>
      <w:tr w:rsidR="00066642" w14:paraId="4A0D01FE" w14:textId="77777777">
        <w:trPr>
          <w:jc w:val="center"/>
        </w:trPr>
        <w:tc>
          <w:tcPr>
            <w:tcW w:w="4997" w:type="dxa"/>
            <w:tcMar>
              <w:top w:w="100" w:type="dxa"/>
              <w:left w:w="120" w:type="dxa"/>
              <w:bottom w:w="100" w:type="dxa"/>
              <w:right w:w="120" w:type="dxa"/>
            </w:tcMar>
          </w:tcPr>
          <w:p w14:paraId="695D6049" w14:textId="77777777" w:rsidR="00066642" w:rsidRDefault="00131870">
            <w:pPr>
              <w:rPr>
                <w:rFonts w:hint="eastAsia"/>
              </w:rPr>
            </w:pPr>
            <w:r>
              <w:t>N</w:t>
            </w:r>
          </w:p>
        </w:tc>
        <w:tc>
          <w:tcPr>
            <w:tcW w:w="4997" w:type="dxa"/>
            <w:tcMar>
              <w:top w:w="100" w:type="dxa"/>
              <w:left w:w="120" w:type="dxa"/>
              <w:bottom w:w="100" w:type="dxa"/>
              <w:right w:w="120" w:type="dxa"/>
            </w:tcMar>
          </w:tcPr>
          <w:p w14:paraId="3E43CC9A" w14:textId="77777777" w:rsidR="00066642" w:rsidRDefault="00131870">
            <w:pPr>
              <w:rPr>
                <w:rFonts w:hint="eastAsia"/>
              </w:rPr>
            </w:pPr>
            <w:r>
              <w:t xml:space="preserve">Professional Conduct within the </w:t>
            </w:r>
            <w:r>
              <w:t>Society</w:t>
            </w:r>
          </w:p>
        </w:tc>
      </w:tr>
      <w:tr w:rsidR="00066642" w14:paraId="1DBDDF84" w14:textId="77777777">
        <w:trPr>
          <w:jc w:val="center"/>
        </w:trPr>
        <w:tc>
          <w:tcPr>
            <w:tcW w:w="4997" w:type="dxa"/>
            <w:tcMar>
              <w:top w:w="100" w:type="dxa"/>
              <w:left w:w="120" w:type="dxa"/>
              <w:bottom w:w="100" w:type="dxa"/>
              <w:right w:w="120" w:type="dxa"/>
            </w:tcMar>
          </w:tcPr>
          <w:p w14:paraId="70124323" w14:textId="77777777" w:rsidR="00066642" w:rsidRDefault="00131870">
            <w:pPr>
              <w:rPr>
                <w:rFonts w:hint="eastAsia"/>
              </w:rPr>
            </w:pPr>
            <w:r>
              <w:t>O</w:t>
            </w:r>
          </w:p>
        </w:tc>
        <w:tc>
          <w:tcPr>
            <w:tcW w:w="4997" w:type="dxa"/>
            <w:tcMar>
              <w:top w:w="100" w:type="dxa"/>
              <w:left w:w="120" w:type="dxa"/>
              <w:bottom w:w="100" w:type="dxa"/>
              <w:right w:w="120" w:type="dxa"/>
            </w:tcMar>
          </w:tcPr>
          <w:p w14:paraId="07A69C11" w14:textId="77777777" w:rsidR="00066642" w:rsidRDefault="00131870">
            <w:pPr>
              <w:rPr>
                <w:rFonts w:hint="eastAsia"/>
              </w:rPr>
            </w:pPr>
            <w:r>
              <w:t>Reporting Serious Professional Concerns</w:t>
            </w:r>
          </w:p>
        </w:tc>
      </w:tr>
      <w:tr w:rsidR="00066642" w14:paraId="43578D04" w14:textId="77777777">
        <w:trPr>
          <w:jc w:val="center"/>
        </w:trPr>
        <w:tc>
          <w:tcPr>
            <w:tcW w:w="4997" w:type="dxa"/>
            <w:tcMar>
              <w:top w:w="100" w:type="dxa"/>
              <w:left w:w="120" w:type="dxa"/>
              <w:bottom w:w="100" w:type="dxa"/>
              <w:right w:w="120" w:type="dxa"/>
            </w:tcMar>
          </w:tcPr>
          <w:p w14:paraId="18348C4B" w14:textId="77777777" w:rsidR="00066642" w:rsidRDefault="00131870">
            <w:pPr>
              <w:rPr>
                <w:rFonts w:hint="eastAsia"/>
              </w:rPr>
            </w:pPr>
            <w:r>
              <w:t>P</w:t>
            </w:r>
          </w:p>
        </w:tc>
        <w:tc>
          <w:tcPr>
            <w:tcW w:w="4997" w:type="dxa"/>
            <w:tcMar>
              <w:top w:w="100" w:type="dxa"/>
              <w:left w:w="120" w:type="dxa"/>
              <w:bottom w:w="100" w:type="dxa"/>
              <w:right w:w="120" w:type="dxa"/>
            </w:tcMar>
          </w:tcPr>
          <w:p w14:paraId="32F6DBB5" w14:textId="77777777" w:rsidR="00066642" w:rsidRDefault="00131870">
            <w:pPr>
              <w:rPr>
                <w:rFonts w:hint="eastAsia"/>
              </w:rPr>
            </w:pPr>
            <w:r>
              <w:t>Professional Standards for Podiatric Specialists</w:t>
            </w:r>
          </w:p>
        </w:tc>
      </w:tr>
      <w:tr w:rsidR="00066642" w14:paraId="01782289" w14:textId="77777777">
        <w:trPr>
          <w:jc w:val="center"/>
        </w:trPr>
        <w:tc>
          <w:tcPr>
            <w:tcW w:w="4997" w:type="dxa"/>
            <w:tcMar>
              <w:top w:w="100" w:type="dxa"/>
              <w:left w:w="120" w:type="dxa"/>
              <w:bottom w:w="100" w:type="dxa"/>
              <w:right w:w="120" w:type="dxa"/>
            </w:tcMar>
          </w:tcPr>
          <w:p w14:paraId="10C99943" w14:textId="77777777" w:rsidR="00066642" w:rsidRDefault="00131870">
            <w:pPr>
              <w:rPr>
                <w:rFonts w:hint="eastAsia"/>
              </w:rPr>
            </w:pPr>
            <w:r>
              <w:t>Q</w:t>
            </w:r>
          </w:p>
        </w:tc>
        <w:tc>
          <w:tcPr>
            <w:tcW w:w="4997" w:type="dxa"/>
            <w:tcMar>
              <w:top w:w="100" w:type="dxa"/>
              <w:left w:w="120" w:type="dxa"/>
              <w:bottom w:w="100" w:type="dxa"/>
              <w:right w:w="120" w:type="dxa"/>
            </w:tcMar>
          </w:tcPr>
          <w:p w14:paraId="21096BC5" w14:textId="77777777" w:rsidR="00066642" w:rsidRDefault="00131870">
            <w:pPr>
              <w:rPr>
                <w:rFonts w:hint="eastAsia"/>
              </w:rPr>
            </w:pPr>
            <w:r>
              <w:t>Breaches of the Code</w:t>
            </w:r>
          </w:p>
        </w:tc>
      </w:tr>
      <w:tr w:rsidR="00066642" w14:paraId="531B33D1" w14:textId="77777777">
        <w:trPr>
          <w:jc w:val="center"/>
        </w:trPr>
        <w:tc>
          <w:tcPr>
            <w:tcW w:w="4997" w:type="dxa"/>
            <w:tcMar>
              <w:top w:w="100" w:type="dxa"/>
              <w:left w:w="120" w:type="dxa"/>
              <w:bottom w:w="100" w:type="dxa"/>
              <w:right w:w="120" w:type="dxa"/>
            </w:tcMar>
          </w:tcPr>
          <w:p w14:paraId="78D19D8F" w14:textId="77777777" w:rsidR="00066642" w:rsidRDefault="00131870">
            <w:pPr>
              <w:rPr>
                <w:rFonts w:hint="eastAsia"/>
              </w:rPr>
            </w:pPr>
            <w:r>
              <w:t>R</w:t>
            </w:r>
          </w:p>
        </w:tc>
        <w:tc>
          <w:tcPr>
            <w:tcW w:w="4997" w:type="dxa"/>
            <w:tcMar>
              <w:top w:w="100" w:type="dxa"/>
              <w:left w:w="120" w:type="dxa"/>
              <w:bottom w:w="100" w:type="dxa"/>
              <w:right w:w="120" w:type="dxa"/>
            </w:tcMar>
          </w:tcPr>
          <w:p w14:paraId="1C967535" w14:textId="77777777" w:rsidR="00066642" w:rsidRDefault="00131870">
            <w:pPr>
              <w:rPr>
                <w:rFonts w:hint="eastAsia"/>
              </w:rPr>
            </w:pPr>
            <w:r>
              <w:t>Member Declaration</w:t>
            </w:r>
          </w:p>
        </w:tc>
      </w:tr>
      <w:tr w:rsidR="00066642" w14:paraId="745AF65F" w14:textId="77777777">
        <w:trPr>
          <w:jc w:val="center"/>
        </w:trPr>
        <w:tc>
          <w:tcPr>
            <w:tcW w:w="4997" w:type="dxa"/>
            <w:tcMar>
              <w:top w:w="100" w:type="dxa"/>
              <w:left w:w="120" w:type="dxa"/>
              <w:bottom w:w="100" w:type="dxa"/>
              <w:right w:w="120" w:type="dxa"/>
            </w:tcMar>
          </w:tcPr>
          <w:p w14:paraId="559FB04B" w14:textId="77777777" w:rsidR="00066642" w:rsidRDefault="00131870">
            <w:pPr>
              <w:rPr>
                <w:rFonts w:hint="eastAsia"/>
              </w:rPr>
            </w:pPr>
            <w:r>
              <w:t>S</w:t>
            </w:r>
          </w:p>
        </w:tc>
        <w:tc>
          <w:tcPr>
            <w:tcW w:w="4997" w:type="dxa"/>
            <w:tcMar>
              <w:top w:w="100" w:type="dxa"/>
              <w:left w:w="120" w:type="dxa"/>
              <w:bottom w:w="100" w:type="dxa"/>
              <w:right w:w="120" w:type="dxa"/>
            </w:tcMar>
          </w:tcPr>
          <w:p w14:paraId="6A3AFF24" w14:textId="77777777" w:rsidR="00066642" w:rsidRDefault="00131870">
            <w:pPr>
              <w:rPr>
                <w:rFonts w:hint="eastAsia"/>
              </w:rPr>
            </w:pPr>
            <w:r>
              <w:t>Review and Regulatory References</w:t>
            </w:r>
          </w:p>
        </w:tc>
      </w:tr>
    </w:tbl>
    <w:p w14:paraId="60AA82BC" w14:textId="77777777" w:rsidR="00066642" w:rsidRDefault="00131870">
      <w:pPr>
        <w:rPr>
          <w:rFonts w:hint="eastAsia"/>
        </w:rPr>
      </w:pPr>
      <w:r>
        <w:br w:type="page"/>
      </w:r>
    </w:p>
    <w:p w14:paraId="0866599D" w14:textId="77777777" w:rsidR="00066642" w:rsidRDefault="00131870">
      <w:pPr>
        <w:pStyle w:val="Heading1"/>
        <w:pBdr>
          <w:bottom w:val="single" w:sz="10" w:space="4" w:color="B18F41"/>
        </w:pBdr>
      </w:pPr>
      <w:r>
        <w:lastRenderedPageBreak/>
        <w:t>PART A — GENERAL PROFESSIONAL CONDUCT</w:t>
      </w:r>
    </w:p>
    <w:p w14:paraId="5988A46A" w14:textId="77777777" w:rsidR="00066642" w:rsidRDefault="00131870">
      <w:pPr>
        <w:pStyle w:val="Heading2"/>
      </w:pPr>
      <w:r>
        <w:t>1. Purpose</w:t>
      </w:r>
    </w:p>
    <w:p w14:paraId="6A18622D" w14:textId="77777777" w:rsidR="00066642" w:rsidRDefault="00131870">
      <w:pPr>
        <w:rPr>
          <w:rFonts w:hint="eastAsia"/>
        </w:rPr>
      </w:pPr>
      <w:r>
        <w:t>The purpose of this Code of Conduct and Professional Standards is to establish the ethical, professional, clinical and behavioural standards expected of all members of the Society.</w:t>
      </w:r>
    </w:p>
    <w:p w14:paraId="447B5939" w14:textId="77777777" w:rsidR="00066642" w:rsidRDefault="00131870">
      <w:pPr>
        <w:rPr>
          <w:rFonts w:hint="eastAsia"/>
        </w:rPr>
      </w:pPr>
      <w:r>
        <w:t>Membership of the Society signifies a commitment to patient safety, high-quality healthcare, ethical and evidence-informed clinical practice, professional integrity, respect for patients and colleagues, maintenance of professional competence, culturally safe and inclusive practice, transparency, accountability and maintaining public confidence in podiatry and specialist podiatric practice.</w:t>
      </w:r>
    </w:p>
    <w:p w14:paraId="4B1AC9BB" w14:textId="77777777" w:rsidR="00066642" w:rsidRDefault="00131870">
      <w:pPr>
        <w:pStyle w:val="ListBullet"/>
        <w:rPr>
          <w:rFonts w:hint="eastAsia"/>
        </w:rPr>
      </w:pPr>
      <w:r>
        <w:t>patient safety and high-quality healthcare</w:t>
      </w:r>
    </w:p>
    <w:p w14:paraId="5DB9E598" w14:textId="77777777" w:rsidR="00066642" w:rsidRDefault="00131870">
      <w:pPr>
        <w:pStyle w:val="ListBullet"/>
        <w:rPr>
          <w:rFonts w:hint="eastAsia"/>
        </w:rPr>
      </w:pPr>
      <w:r>
        <w:t>ethical and evidence-informed clinical practice</w:t>
      </w:r>
    </w:p>
    <w:p w14:paraId="3FA9F02E" w14:textId="77777777" w:rsidR="00066642" w:rsidRDefault="00131870">
      <w:pPr>
        <w:pStyle w:val="ListBullet"/>
        <w:rPr>
          <w:rFonts w:hint="eastAsia"/>
        </w:rPr>
      </w:pPr>
      <w:r>
        <w:t>professional integrity and honesty</w:t>
      </w:r>
    </w:p>
    <w:p w14:paraId="756FE721" w14:textId="77777777" w:rsidR="00066642" w:rsidRDefault="00131870">
      <w:pPr>
        <w:pStyle w:val="ListBullet"/>
        <w:rPr>
          <w:rFonts w:hint="eastAsia"/>
        </w:rPr>
      </w:pPr>
      <w:r>
        <w:t>respect for patients, colleagues and the community</w:t>
      </w:r>
    </w:p>
    <w:p w14:paraId="6102D5B2" w14:textId="77777777" w:rsidR="00066642" w:rsidRDefault="00131870">
      <w:pPr>
        <w:pStyle w:val="ListBullet"/>
        <w:rPr>
          <w:rFonts w:hint="eastAsia"/>
        </w:rPr>
      </w:pPr>
      <w:r>
        <w:t xml:space="preserve">maintenance of </w:t>
      </w:r>
      <w:r>
        <w:t>professional competence</w:t>
      </w:r>
    </w:p>
    <w:p w14:paraId="44CCFF7B" w14:textId="77777777" w:rsidR="00066642" w:rsidRDefault="00131870">
      <w:pPr>
        <w:pStyle w:val="ListBullet"/>
        <w:rPr>
          <w:rFonts w:hint="eastAsia"/>
        </w:rPr>
      </w:pPr>
      <w:r>
        <w:t>culturally safe and inclusive practice</w:t>
      </w:r>
    </w:p>
    <w:p w14:paraId="0771E828" w14:textId="77777777" w:rsidR="00066642" w:rsidRDefault="00131870">
      <w:pPr>
        <w:pStyle w:val="ListBullet"/>
        <w:rPr>
          <w:rFonts w:hint="eastAsia"/>
        </w:rPr>
      </w:pPr>
      <w:r>
        <w:t>responsible professional leadership</w:t>
      </w:r>
    </w:p>
    <w:p w14:paraId="37E3EB2C" w14:textId="77777777" w:rsidR="00066642" w:rsidRDefault="00131870">
      <w:pPr>
        <w:pStyle w:val="ListBullet"/>
        <w:rPr>
          <w:rFonts w:hint="eastAsia"/>
        </w:rPr>
      </w:pPr>
      <w:r>
        <w:t>transparency, accountability and continuous improvement</w:t>
      </w:r>
    </w:p>
    <w:p w14:paraId="3DC1CA01" w14:textId="77777777" w:rsidR="00066642" w:rsidRDefault="00131870">
      <w:pPr>
        <w:pStyle w:val="Heading2"/>
      </w:pPr>
      <w:r>
        <w:t>2. Application of the Code</w:t>
      </w:r>
    </w:p>
    <w:p w14:paraId="4E6F6C18" w14:textId="77777777" w:rsidR="00066642" w:rsidRDefault="00131870">
      <w:pPr>
        <w:rPr>
          <w:rFonts w:hint="eastAsia"/>
        </w:rPr>
      </w:pPr>
      <w:r>
        <w:t>This Code applies to all categories of Society membership, to the extent relevant to their role and scope.</w:t>
      </w:r>
    </w:p>
    <w:p w14:paraId="2392A57E" w14:textId="77777777" w:rsidR="00066642" w:rsidRDefault="00131870">
      <w:pPr>
        <w:pStyle w:val="ListBullet"/>
        <w:rPr>
          <w:rFonts w:hint="eastAsia"/>
        </w:rPr>
      </w:pPr>
      <w:r>
        <w:t>Members</w:t>
      </w:r>
    </w:p>
    <w:p w14:paraId="4BE3A545" w14:textId="77777777" w:rsidR="00066642" w:rsidRDefault="00131870">
      <w:pPr>
        <w:pStyle w:val="ListBullet"/>
        <w:rPr>
          <w:rFonts w:hint="eastAsia"/>
        </w:rPr>
      </w:pPr>
      <w:r>
        <w:t>Founding Members</w:t>
      </w:r>
    </w:p>
    <w:p w14:paraId="77482161" w14:textId="77777777" w:rsidR="00066642" w:rsidRDefault="00131870">
      <w:pPr>
        <w:pStyle w:val="ListBullet"/>
        <w:rPr>
          <w:rFonts w:hint="eastAsia"/>
        </w:rPr>
      </w:pPr>
      <w:r>
        <w:t>Associate members</w:t>
      </w:r>
    </w:p>
    <w:p w14:paraId="253573DC" w14:textId="77777777" w:rsidR="00066642" w:rsidRDefault="00131870">
      <w:pPr>
        <w:pStyle w:val="ListBullet"/>
        <w:rPr>
          <w:rFonts w:hint="eastAsia"/>
        </w:rPr>
      </w:pPr>
      <w:r>
        <w:t>Trainees and registrars</w:t>
      </w:r>
    </w:p>
    <w:p w14:paraId="0EAA8EE0" w14:textId="77777777" w:rsidR="00066642" w:rsidRDefault="00131870">
      <w:pPr>
        <w:pStyle w:val="ListBullet"/>
        <w:rPr>
          <w:rFonts w:hint="eastAsia"/>
        </w:rPr>
      </w:pPr>
      <w:r>
        <w:t>Office bearers, Board and committee members</w:t>
      </w:r>
    </w:p>
    <w:p w14:paraId="4037D395" w14:textId="77777777" w:rsidR="00066642" w:rsidRDefault="00131870">
      <w:pPr>
        <w:pStyle w:val="ListBullet"/>
        <w:rPr>
          <w:rFonts w:hint="eastAsia"/>
        </w:rPr>
      </w:pPr>
      <w:r>
        <w:t>Educators, supervisors and examiners</w:t>
      </w:r>
    </w:p>
    <w:p w14:paraId="38BCDB6A" w14:textId="77777777" w:rsidR="00066642" w:rsidRDefault="00131870">
      <w:pPr>
        <w:pStyle w:val="ListBullet"/>
        <w:rPr>
          <w:rFonts w:hint="eastAsia"/>
        </w:rPr>
      </w:pPr>
      <w:r>
        <w:t>Members representing the Society in an official capacity</w:t>
      </w:r>
    </w:p>
    <w:p w14:paraId="403A34A5" w14:textId="77777777" w:rsidR="00066642" w:rsidRDefault="00131870">
      <w:pPr>
        <w:rPr>
          <w:rFonts w:hint="eastAsia"/>
        </w:rPr>
      </w:pPr>
      <w:r>
        <w:t xml:space="preserve">The Code </w:t>
      </w:r>
      <w:r>
        <w:t>applies to clinical and surgical practice, teaching and supervision, research, Society activities, professional correspondence, digital communication and social media, and interactions with patients, colleagues, students, staff and the public.</w:t>
      </w:r>
    </w:p>
    <w:p w14:paraId="14026E31" w14:textId="77777777" w:rsidR="00066642" w:rsidRDefault="00131870">
      <w:pPr>
        <w:pStyle w:val="Heading2"/>
      </w:pPr>
      <w:r>
        <w:t>3. Regulatory obligations</w:t>
      </w:r>
    </w:p>
    <w:p w14:paraId="3C4A15E2" w14:textId="77777777" w:rsidR="00066642" w:rsidRDefault="00131870">
      <w:pPr>
        <w:ind w:left="259" w:hanging="259"/>
        <w:rPr>
          <w:rFonts w:hint="eastAsia"/>
        </w:rPr>
      </w:pPr>
      <w:r>
        <w:rPr>
          <w:b/>
        </w:rPr>
        <w:t xml:space="preserve">1. </w:t>
      </w:r>
      <w:r>
        <w:t>Maintain appropriate registration with the Podiatry Board of Australia.</w:t>
      </w:r>
    </w:p>
    <w:p w14:paraId="01364EE8" w14:textId="77777777" w:rsidR="00066642" w:rsidRDefault="00131870">
      <w:pPr>
        <w:ind w:left="259" w:hanging="259"/>
        <w:rPr>
          <w:rFonts w:hint="eastAsia"/>
        </w:rPr>
      </w:pPr>
      <w:r>
        <w:rPr>
          <w:b/>
        </w:rPr>
        <w:t xml:space="preserve">2. </w:t>
      </w:r>
      <w:r>
        <w:t>Practise only within the scope permitted by registration, endorsements, qualifications, competence and experience.</w:t>
      </w:r>
    </w:p>
    <w:p w14:paraId="1B7DB88E" w14:textId="77777777" w:rsidR="00066642" w:rsidRDefault="00131870">
      <w:pPr>
        <w:ind w:left="259" w:hanging="259"/>
        <w:rPr>
          <w:rFonts w:hint="eastAsia"/>
        </w:rPr>
      </w:pPr>
      <w:r>
        <w:rPr>
          <w:b/>
        </w:rPr>
        <w:t xml:space="preserve">3. </w:t>
      </w:r>
      <w:r>
        <w:t>Comply with any conditions or undertakings imposed on registration.</w:t>
      </w:r>
    </w:p>
    <w:p w14:paraId="411DE1C0" w14:textId="77777777" w:rsidR="00066642" w:rsidRDefault="00131870">
      <w:pPr>
        <w:ind w:left="259" w:hanging="259"/>
        <w:rPr>
          <w:rFonts w:hint="eastAsia"/>
        </w:rPr>
      </w:pPr>
      <w:r>
        <w:rPr>
          <w:b/>
        </w:rPr>
        <w:t xml:space="preserve">4. </w:t>
      </w:r>
      <w:r>
        <w:t>Comply with the National Law as applicable in the relevant jurisdiction.</w:t>
      </w:r>
    </w:p>
    <w:p w14:paraId="326A50A4" w14:textId="77777777" w:rsidR="00066642" w:rsidRDefault="00131870">
      <w:pPr>
        <w:ind w:left="259" w:hanging="259"/>
        <w:rPr>
          <w:rFonts w:hint="eastAsia"/>
        </w:rPr>
      </w:pPr>
      <w:r>
        <w:rPr>
          <w:b/>
        </w:rPr>
        <w:t xml:space="preserve">5. </w:t>
      </w:r>
      <w:r>
        <w:t>Comply with current Podiatry Board and Ahpra registration standards, codes, guidelines and policies.</w:t>
      </w:r>
    </w:p>
    <w:p w14:paraId="33A4631E" w14:textId="77777777" w:rsidR="00066642" w:rsidRDefault="00131870">
      <w:pPr>
        <w:ind w:left="259" w:hanging="259"/>
        <w:rPr>
          <w:rFonts w:hint="eastAsia"/>
        </w:rPr>
      </w:pPr>
      <w:r>
        <w:rPr>
          <w:b/>
        </w:rPr>
        <w:t xml:space="preserve">6. </w:t>
      </w:r>
      <w:r>
        <w:t>Maintain appropriate professional indemnity insurance.</w:t>
      </w:r>
    </w:p>
    <w:p w14:paraId="447B50F0" w14:textId="77777777" w:rsidR="00066642" w:rsidRDefault="00131870">
      <w:pPr>
        <w:ind w:left="259" w:hanging="259"/>
        <w:rPr>
          <w:rFonts w:hint="eastAsia"/>
        </w:rPr>
      </w:pPr>
      <w:r>
        <w:rPr>
          <w:b/>
        </w:rPr>
        <w:t xml:space="preserve">7. </w:t>
      </w:r>
      <w:r>
        <w:t>Meet applicable continuing professional development and recency-of-practice requirements.</w:t>
      </w:r>
    </w:p>
    <w:p w14:paraId="49DCD543" w14:textId="77777777" w:rsidR="00066642" w:rsidRDefault="00131870">
      <w:pPr>
        <w:ind w:left="259" w:hanging="259"/>
        <w:rPr>
          <w:rFonts w:hint="eastAsia"/>
        </w:rPr>
      </w:pPr>
      <w:r>
        <w:rPr>
          <w:b/>
        </w:rPr>
        <w:t xml:space="preserve">8. </w:t>
      </w:r>
      <w:r>
        <w:t>Comply with relevant medicines, privacy, health-records, radiation, infection-control and health-services legislation.</w:t>
      </w:r>
    </w:p>
    <w:p w14:paraId="37EE4F85" w14:textId="77777777" w:rsidR="00066642" w:rsidRDefault="00131870">
      <w:pPr>
        <w:ind w:left="259" w:hanging="259"/>
        <w:rPr>
          <w:rFonts w:hint="eastAsia"/>
        </w:rPr>
      </w:pPr>
      <w:r>
        <w:rPr>
          <w:b/>
        </w:rPr>
        <w:t xml:space="preserve">9. </w:t>
      </w:r>
      <w:r>
        <w:t>Make notifications or disclosures required by law.</w:t>
      </w:r>
    </w:p>
    <w:p w14:paraId="4C6D7589" w14:textId="77777777" w:rsidR="00066642" w:rsidRDefault="00131870">
      <w:pPr>
        <w:rPr>
          <w:rFonts w:hint="eastAsia"/>
        </w:rPr>
      </w:pPr>
      <w:r>
        <w:t>A member must not knowingly misrepresent their registration status, qualifications, endorsements, specialist status, clinical privileges or scope of practice.</w:t>
      </w:r>
    </w:p>
    <w:p w14:paraId="1E42E8E8" w14:textId="77777777" w:rsidR="00066642" w:rsidRDefault="00131870">
      <w:pPr>
        <w:rPr>
          <w:rFonts w:hint="eastAsia"/>
        </w:rPr>
      </w:pPr>
      <w:r>
        <w:br w:type="page"/>
      </w:r>
    </w:p>
    <w:p w14:paraId="07EDC17C" w14:textId="77777777" w:rsidR="00066642" w:rsidRDefault="00131870">
      <w:pPr>
        <w:pStyle w:val="Heading1"/>
        <w:pBdr>
          <w:bottom w:val="single" w:sz="10" w:space="4" w:color="B18F41"/>
        </w:pBdr>
      </w:pPr>
      <w:r>
        <w:t>PART B — FUNDAMENTAL PROFESSIONAL PRINCIPLES</w:t>
      </w:r>
    </w:p>
    <w:p w14:paraId="4724642C" w14:textId="77777777" w:rsidR="00066642" w:rsidRDefault="00131870">
      <w:pPr>
        <w:pStyle w:val="Heading2"/>
      </w:pPr>
      <w:r>
        <w:t xml:space="preserve">4. Primacy of patient </w:t>
      </w:r>
      <w:r>
        <w:t>welfare</w:t>
      </w:r>
    </w:p>
    <w:p w14:paraId="5A23D9AE" w14:textId="77777777" w:rsidR="00066642" w:rsidRDefault="00131870">
      <w:pPr>
        <w:rPr>
          <w:rFonts w:hint="eastAsia"/>
        </w:rPr>
      </w:pPr>
      <w:r>
        <w:t>A member's primary clinical responsibility is to the welfare, safety and interests of the patient. Financial gain, professional rivalry, commercial arrangements or Society interests must never improperly influence clinical decision-making.</w:t>
      </w:r>
    </w:p>
    <w:p w14:paraId="2C62BF0E" w14:textId="77777777" w:rsidR="00066642" w:rsidRDefault="00131870">
      <w:pPr>
        <w:pStyle w:val="ListBullet"/>
        <w:rPr>
          <w:rFonts w:hint="eastAsia"/>
        </w:rPr>
      </w:pPr>
      <w:r>
        <w:t>place patient safety ahead of personal, commercial or professional interests</w:t>
      </w:r>
    </w:p>
    <w:p w14:paraId="63484391" w14:textId="77777777" w:rsidR="00066642" w:rsidRDefault="00131870">
      <w:pPr>
        <w:pStyle w:val="ListBullet"/>
        <w:rPr>
          <w:rFonts w:hint="eastAsia"/>
        </w:rPr>
      </w:pPr>
      <w:r>
        <w:t>provide care that is clinically justified</w:t>
      </w:r>
    </w:p>
    <w:p w14:paraId="6654F674" w14:textId="77777777" w:rsidR="00066642" w:rsidRDefault="00131870">
      <w:pPr>
        <w:pStyle w:val="ListBullet"/>
        <w:rPr>
          <w:rFonts w:hint="eastAsia"/>
        </w:rPr>
      </w:pPr>
      <w:r>
        <w:t>avoid unnecessary investigations or treatment</w:t>
      </w:r>
    </w:p>
    <w:p w14:paraId="647FA5BE" w14:textId="77777777" w:rsidR="00066642" w:rsidRDefault="00131870">
      <w:pPr>
        <w:pStyle w:val="ListBullet"/>
        <w:rPr>
          <w:rFonts w:hint="eastAsia"/>
        </w:rPr>
      </w:pPr>
      <w:r>
        <w:t>consider reasonable alternatives to treatment or surgery</w:t>
      </w:r>
    </w:p>
    <w:p w14:paraId="10064F8E" w14:textId="77777777" w:rsidR="00066642" w:rsidRDefault="00131870">
      <w:pPr>
        <w:pStyle w:val="ListBullet"/>
        <w:rPr>
          <w:rFonts w:hint="eastAsia"/>
        </w:rPr>
      </w:pPr>
      <w:r>
        <w:t>recognise the limits of their expertise</w:t>
      </w:r>
    </w:p>
    <w:p w14:paraId="5D26B2C8" w14:textId="77777777" w:rsidR="00066642" w:rsidRDefault="00131870">
      <w:pPr>
        <w:pStyle w:val="ListBullet"/>
        <w:rPr>
          <w:rFonts w:hint="eastAsia"/>
        </w:rPr>
      </w:pPr>
      <w:r>
        <w:t>obtain appropriate assistance or referral where required</w:t>
      </w:r>
    </w:p>
    <w:p w14:paraId="30A58557" w14:textId="77777777" w:rsidR="00066642" w:rsidRDefault="00131870">
      <w:pPr>
        <w:pStyle w:val="ListBullet"/>
        <w:rPr>
          <w:rFonts w:hint="eastAsia"/>
        </w:rPr>
      </w:pPr>
      <w:r>
        <w:t>advocate for appropriate care where a patient’s needs extend beyond the member’s individual scope</w:t>
      </w:r>
    </w:p>
    <w:p w14:paraId="58F9168C" w14:textId="77777777" w:rsidR="00066642" w:rsidRDefault="00131870">
      <w:pPr>
        <w:pStyle w:val="Heading2"/>
      </w:pPr>
      <w:r>
        <w:t>5. Respect, dignity and non-discrimination</w:t>
      </w:r>
    </w:p>
    <w:p w14:paraId="66E2DEAF" w14:textId="77777777" w:rsidR="00066642" w:rsidRDefault="00131870">
      <w:pPr>
        <w:rPr>
          <w:rFonts w:hint="eastAsia"/>
        </w:rPr>
      </w:pPr>
      <w:r>
        <w:t>Members must treat patients, colleagues, students, staff and members of the public with dignity and respect. Members must not engage in unlawful discrimination, harassment, bullying, intimidation or victimisation. Clinical recommendations may differ where relevant clinical factors justify them.</w:t>
      </w:r>
    </w:p>
    <w:p w14:paraId="2885DA02" w14:textId="77777777" w:rsidR="00066642" w:rsidRDefault="00131870">
      <w:pPr>
        <w:pStyle w:val="Heading2"/>
      </w:pPr>
      <w:r>
        <w:t>6. Culturally safe practice</w:t>
      </w:r>
    </w:p>
    <w:p w14:paraId="320950ED" w14:textId="77777777" w:rsidR="00066642" w:rsidRDefault="00131870">
      <w:pPr>
        <w:rPr>
          <w:rFonts w:hint="eastAsia"/>
        </w:rPr>
      </w:pPr>
      <w:r>
        <w:t>Members must provide culturally safe healthcare and recognise that cultural safety is determined by the person receiving care. Particular attention must be given to culturally safe care for Aboriginal and Torres Strait Islander peoples.</w:t>
      </w:r>
    </w:p>
    <w:p w14:paraId="2A72518A" w14:textId="77777777" w:rsidR="00066642" w:rsidRDefault="00131870">
      <w:pPr>
        <w:pStyle w:val="ListBullet"/>
        <w:rPr>
          <w:rFonts w:hint="eastAsia"/>
        </w:rPr>
      </w:pPr>
      <w:r>
        <w:t>recognise the effects of colonisation, racism and historical and contemporary disadvantage on health</w:t>
      </w:r>
    </w:p>
    <w:p w14:paraId="7EAEF2DF" w14:textId="77777777" w:rsidR="00066642" w:rsidRDefault="00131870">
      <w:pPr>
        <w:pStyle w:val="ListBullet"/>
        <w:rPr>
          <w:rFonts w:hint="eastAsia"/>
        </w:rPr>
      </w:pPr>
      <w:r>
        <w:t>avoid assumptions and stereotypes</w:t>
      </w:r>
    </w:p>
    <w:p w14:paraId="18A849C1" w14:textId="77777777" w:rsidR="00066642" w:rsidRDefault="00131870">
      <w:pPr>
        <w:pStyle w:val="ListBullet"/>
        <w:rPr>
          <w:rFonts w:hint="eastAsia"/>
        </w:rPr>
      </w:pPr>
      <w:r>
        <w:t>communicate respectfully</w:t>
      </w:r>
    </w:p>
    <w:p w14:paraId="0B222498" w14:textId="77777777" w:rsidR="00066642" w:rsidRDefault="00131870">
      <w:pPr>
        <w:pStyle w:val="ListBullet"/>
        <w:rPr>
          <w:rFonts w:hint="eastAsia"/>
        </w:rPr>
      </w:pPr>
      <w:r>
        <w:t>recognise cultural differences relevant to healthcare decision-making</w:t>
      </w:r>
    </w:p>
    <w:p w14:paraId="37E28687" w14:textId="77777777" w:rsidR="00066642" w:rsidRDefault="00131870">
      <w:pPr>
        <w:pStyle w:val="ListBullet"/>
        <w:rPr>
          <w:rFonts w:hint="eastAsia"/>
        </w:rPr>
      </w:pPr>
      <w:r>
        <w:t>facilitate interpreters or appropriate cultural support where required</w:t>
      </w:r>
    </w:p>
    <w:p w14:paraId="084FC270" w14:textId="77777777" w:rsidR="00066642" w:rsidRDefault="00131870">
      <w:pPr>
        <w:pStyle w:val="ListBullet"/>
        <w:rPr>
          <w:rFonts w:hint="eastAsia"/>
        </w:rPr>
      </w:pPr>
      <w:r>
        <w:t>reflect on personal assumptions, bias and professional behaviour</w:t>
      </w:r>
    </w:p>
    <w:p w14:paraId="76E2EA8C" w14:textId="77777777" w:rsidR="00066642" w:rsidRDefault="00131870">
      <w:pPr>
        <w:rPr>
          <w:rFonts w:hint="eastAsia"/>
        </w:rPr>
      </w:pPr>
      <w:r>
        <w:br w:type="page"/>
      </w:r>
    </w:p>
    <w:p w14:paraId="7A4CEEF9" w14:textId="77777777" w:rsidR="00066642" w:rsidRDefault="00131870">
      <w:pPr>
        <w:pStyle w:val="Heading1"/>
        <w:pBdr>
          <w:bottom w:val="single" w:sz="10" w:space="4" w:color="B18F41"/>
        </w:pBdr>
      </w:pPr>
      <w:r>
        <w:t>PART C — CLINICAL PROFESSIONAL STANDARDS</w:t>
      </w:r>
    </w:p>
    <w:p w14:paraId="7478B8DF" w14:textId="77777777" w:rsidR="00066642" w:rsidRDefault="00131870">
      <w:pPr>
        <w:pStyle w:val="Heading2"/>
      </w:pPr>
      <w:r>
        <w:t>7. Scope of practice and professional competence</w:t>
      </w:r>
    </w:p>
    <w:p w14:paraId="56592AF0" w14:textId="77777777" w:rsidR="00066642" w:rsidRDefault="00131870">
      <w:pPr>
        <w:rPr>
          <w:rFonts w:hint="eastAsia"/>
        </w:rPr>
      </w:pPr>
      <w:r>
        <w:t>Members must practise within the limits of their education, registration, specialist registration, endorsement, training, credentialing, current competence, clinical experience and available facilities and support.</w:t>
      </w:r>
    </w:p>
    <w:p w14:paraId="35D110A1" w14:textId="77777777" w:rsidR="00066642" w:rsidRDefault="00131870">
      <w:pPr>
        <w:rPr>
          <w:rFonts w:hint="eastAsia"/>
        </w:rPr>
      </w:pPr>
      <w:r>
        <w:t>Possession of a qualification does not, by itself, establish current competence to perform every treatment or surgery historically associated with that qualification. Members introducing a new technique, technology or surgery must ensure appropriate education, training and supervised experience where required.</w:t>
      </w:r>
    </w:p>
    <w:p w14:paraId="3077C95B" w14:textId="77777777" w:rsidR="00066642" w:rsidRDefault="00131870">
      <w:pPr>
        <w:pStyle w:val="Heading2"/>
      </w:pPr>
      <w:r>
        <w:t>8. Evidence-informed practice</w:t>
      </w:r>
    </w:p>
    <w:p w14:paraId="7E746BDD" w14:textId="77777777" w:rsidR="00066642" w:rsidRDefault="00131870">
      <w:pPr>
        <w:rPr>
          <w:rFonts w:hint="eastAsia"/>
        </w:rPr>
      </w:pPr>
      <w:r>
        <w:t xml:space="preserve">Clinical </w:t>
      </w:r>
      <w:r>
        <w:t>decisions should integrate the best reasonably available scientific evidence, recognised professional standards, practitioner expertise, patient circumstances and the patient’s informed preferences and values.</w:t>
      </w:r>
    </w:p>
    <w:p w14:paraId="535B0C3F" w14:textId="77777777" w:rsidR="00066642" w:rsidRDefault="00131870">
      <w:pPr>
        <w:pStyle w:val="ListBullet"/>
        <w:rPr>
          <w:rFonts w:hint="eastAsia"/>
        </w:rPr>
      </w:pPr>
      <w:r>
        <w:t>distinguish established treatment from emerging, innovative or experimental treatment</w:t>
      </w:r>
    </w:p>
    <w:p w14:paraId="66F1BC9A" w14:textId="77777777" w:rsidR="00066642" w:rsidRDefault="00131870">
      <w:pPr>
        <w:pStyle w:val="ListBullet"/>
        <w:rPr>
          <w:rFonts w:hint="eastAsia"/>
        </w:rPr>
      </w:pPr>
      <w:r>
        <w:t>communicate material uncertainty where evidence is limited or disputed</w:t>
      </w:r>
    </w:p>
    <w:p w14:paraId="62DD597A" w14:textId="77777777" w:rsidR="00066642" w:rsidRDefault="00131870">
      <w:pPr>
        <w:pStyle w:val="ListBullet"/>
        <w:rPr>
          <w:rFonts w:hint="eastAsia"/>
        </w:rPr>
      </w:pPr>
      <w:r>
        <w:t>avoid exaggerating evidence, treatment success rates or clinical outcomes</w:t>
      </w:r>
    </w:p>
    <w:p w14:paraId="60BE8EFC" w14:textId="77777777" w:rsidR="00066642" w:rsidRDefault="00131870">
      <w:pPr>
        <w:pStyle w:val="Heading2"/>
      </w:pPr>
      <w:r>
        <w:t>9. Assessment and diagnosis</w:t>
      </w:r>
    </w:p>
    <w:p w14:paraId="09804872" w14:textId="77777777" w:rsidR="00066642" w:rsidRDefault="00131870">
      <w:pPr>
        <w:rPr>
          <w:rFonts w:hint="eastAsia"/>
        </w:rPr>
      </w:pPr>
      <w:r>
        <w:t>Members must undertake an assessment appropriate to the proposed treatment or surgery. Investigations must be clinically justified, and the practitioner recommending care must personally satisfy themselves that available clinical information supports the proposed management.</w:t>
      </w:r>
    </w:p>
    <w:p w14:paraId="1967EA4C" w14:textId="77777777" w:rsidR="00066642" w:rsidRDefault="00131870">
      <w:pPr>
        <w:pStyle w:val="ListBullet"/>
        <w:rPr>
          <w:rFonts w:hint="eastAsia"/>
        </w:rPr>
      </w:pPr>
      <w:r>
        <w:t>presenting complaint and relevant history</w:t>
      </w:r>
    </w:p>
    <w:p w14:paraId="429437E1" w14:textId="77777777" w:rsidR="00066642" w:rsidRDefault="00131870">
      <w:pPr>
        <w:pStyle w:val="ListBullet"/>
        <w:rPr>
          <w:rFonts w:hint="eastAsia"/>
        </w:rPr>
      </w:pPr>
      <w:r>
        <w:t>medical and medication history</w:t>
      </w:r>
    </w:p>
    <w:p w14:paraId="4B309D83" w14:textId="77777777" w:rsidR="00066642" w:rsidRDefault="00131870">
      <w:pPr>
        <w:pStyle w:val="ListBullet"/>
        <w:rPr>
          <w:rFonts w:hint="eastAsia"/>
        </w:rPr>
      </w:pPr>
      <w:r>
        <w:t>allergies and adverse reactions</w:t>
      </w:r>
    </w:p>
    <w:p w14:paraId="23177E36" w14:textId="77777777" w:rsidR="00066642" w:rsidRDefault="00131870">
      <w:pPr>
        <w:pStyle w:val="ListBullet"/>
        <w:rPr>
          <w:rFonts w:hint="eastAsia"/>
        </w:rPr>
      </w:pPr>
      <w:r>
        <w:t>previous treatment</w:t>
      </w:r>
    </w:p>
    <w:p w14:paraId="5751AC5E" w14:textId="77777777" w:rsidR="00066642" w:rsidRDefault="00131870">
      <w:pPr>
        <w:pStyle w:val="ListBullet"/>
        <w:rPr>
          <w:rFonts w:hint="eastAsia"/>
        </w:rPr>
      </w:pPr>
      <w:r>
        <w:t>physical examination</w:t>
      </w:r>
    </w:p>
    <w:p w14:paraId="734E6850" w14:textId="77777777" w:rsidR="00066642" w:rsidRDefault="00131870">
      <w:pPr>
        <w:pStyle w:val="ListBullet"/>
        <w:rPr>
          <w:rFonts w:hint="eastAsia"/>
        </w:rPr>
      </w:pPr>
      <w:r>
        <w:t>diagnostic testing and imaging where indicated</w:t>
      </w:r>
    </w:p>
    <w:p w14:paraId="2204C0EC" w14:textId="77777777" w:rsidR="00066642" w:rsidRDefault="00131870">
      <w:pPr>
        <w:pStyle w:val="ListBullet"/>
        <w:rPr>
          <w:rFonts w:hint="eastAsia"/>
        </w:rPr>
      </w:pPr>
      <w:r>
        <w:t>differential diagnosis</w:t>
      </w:r>
    </w:p>
    <w:p w14:paraId="2B69DAF4" w14:textId="77777777" w:rsidR="00066642" w:rsidRDefault="00131870">
      <w:pPr>
        <w:pStyle w:val="ListBullet"/>
        <w:rPr>
          <w:rFonts w:hint="eastAsia"/>
        </w:rPr>
      </w:pPr>
      <w:r>
        <w:t>risk factors and relevant comorbidities</w:t>
      </w:r>
    </w:p>
    <w:p w14:paraId="1701857B" w14:textId="77777777" w:rsidR="00066642" w:rsidRDefault="00131870">
      <w:pPr>
        <w:pStyle w:val="ListBullet"/>
        <w:rPr>
          <w:rFonts w:hint="eastAsia"/>
        </w:rPr>
      </w:pPr>
      <w:r>
        <w:t>anaesthetic risk where appropriate</w:t>
      </w:r>
    </w:p>
    <w:p w14:paraId="306A740F" w14:textId="77777777" w:rsidR="00066642" w:rsidRDefault="00131870">
      <w:pPr>
        <w:pStyle w:val="Heading2"/>
      </w:pPr>
      <w:r>
        <w:t>10. Informed consent and shared decision-making</w:t>
      </w:r>
    </w:p>
    <w:p w14:paraId="7EF33C03" w14:textId="77777777" w:rsidR="00066642" w:rsidRDefault="00131870">
      <w:pPr>
        <w:rPr>
          <w:rFonts w:hint="eastAsia"/>
        </w:rPr>
      </w:pPr>
      <w:r>
        <w:t>Valid informed consent must be obtained before treatment or surgery. Consent must be voluntary and obtained from a person with appropriate decision-making capacity, or an authorised substitute decision-maker where applicable.</w:t>
      </w:r>
    </w:p>
    <w:p w14:paraId="545233C1" w14:textId="77777777" w:rsidR="00066642" w:rsidRDefault="00131870">
      <w:pPr>
        <w:rPr>
          <w:rFonts w:hint="eastAsia"/>
        </w:rPr>
      </w:pPr>
      <w:r>
        <w:t>Consent is an ongoing process. A signed consent form does not replace an appropriate discussion between practitioner and patient.</w:t>
      </w:r>
    </w:p>
    <w:p w14:paraId="709845E8" w14:textId="77777777" w:rsidR="00066642" w:rsidRDefault="00131870">
      <w:pPr>
        <w:pStyle w:val="ListBullet"/>
        <w:rPr>
          <w:rFonts w:hint="eastAsia"/>
        </w:rPr>
      </w:pPr>
      <w:r>
        <w:t>nature and purpose of the proposed treatment or surgery</w:t>
      </w:r>
    </w:p>
    <w:p w14:paraId="1CBECA79" w14:textId="77777777" w:rsidR="00066642" w:rsidRDefault="00131870">
      <w:pPr>
        <w:pStyle w:val="ListBullet"/>
        <w:rPr>
          <w:rFonts w:hint="eastAsia"/>
        </w:rPr>
      </w:pPr>
      <w:r>
        <w:t>expected benefits</w:t>
      </w:r>
    </w:p>
    <w:p w14:paraId="5E6A3ABA" w14:textId="77777777" w:rsidR="00066642" w:rsidRDefault="00131870">
      <w:pPr>
        <w:pStyle w:val="ListBullet"/>
        <w:rPr>
          <w:rFonts w:hint="eastAsia"/>
        </w:rPr>
      </w:pPr>
      <w:r>
        <w:t>material risks and significant complications</w:t>
      </w:r>
    </w:p>
    <w:p w14:paraId="2C5BE94F" w14:textId="77777777" w:rsidR="00066642" w:rsidRDefault="00131870">
      <w:pPr>
        <w:pStyle w:val="ListBullet"/>
        <w:rPr>
          <w:rFonts w:hint="eastAsia"/>
        </w:rPr>
      </w:pPr>
      <w:r>
        <w:t>reasonable alternative treatments</w:t>
      </w:r>
    </w:p>
    <w:p w14:paraId="5D123937" w14:textId="77777777" w:rsidR="00066642" w:rsidRDefault="00131870">
      <w:pPr>
        <w:pStyle w:val="ListBullet"/>
        <w:rPr>
          <w:rFonts w:hint="eastAsia"/>
        </w:rPr>
      </w:pPr>
      <w:r>
        <w:t>the option of no treatment</w:t>
      </w:r>
    </w:p>
    <w:p w14:paraId="1F29D1B1" w14:textId="77777777" w:rsidR="00066642" w:rsidRDefault="00131870">
      <w:pPr>
        <w:pStyle w:val="ListBullet"/>
        <w:rPr>
          <w:rFonts w:hint="eastAsia"/>
        </w:rPr>
      </w:pPr>
      <w:r>
        <w:t>likely recovery and functional limitations</w:t>
      </w:r>
    </w:p>
    <w:p w14:paraId="225E3D8F" w14:textId="77777777" w:rsidR="00066642" w:rsidRDefault="00131870">
      <w:pPr>
        <w:pStyle w:val="ListBullet"/>
        <w:rPr>
          <w:rFonts w:hint="eastAsia"/>
        </w:rPr>
      </w:pPr>
      <w:r>
        <w:t>potential need for further treatment or revision</w:t>
      </w:r>
    </w:p>
    <w:p w14:paraId="146C4AA7" w14:textId="77777777" w:rsidR="00066642" w:rsidRDefault="00131870">
      <w:pPr>
        <w:pStyle w:val="ListBullet"/>
        <w:rPr>
          <w:rFonts w:hint="eastAsia"/>
        </w:rPr>
      </w:pPr>
      <w:r>
        <w:t>financial costs where reasonably known</w:t>
      </w:r>
    </w:p>
    <w:p w14:paraId="1978A8E2" w14:textId="77777777" w:rsidR="00066642" w:rsidRDefault="00131870">
      <w:pPr>
        <w:pStyle w:val="ListBullet"/>
        <w:rPr>
          <w:rFonts w:hint="eastAsia"/>
        </w:rPr>
      </w:pPr>
      <w:r>
        <w:t>material uncertainty regarding outcome</w:t>
      </w:r>
    </w:p>
    <w:p w14:paraId="44F3B321" w14:textId="77777777" w:rsidR="00066642" w:rsidRDefault="00131870">
      <w:pPr>
        <w:rPr>
          <w:rFonts w:hint="eastAsia"/>
        </w:rPr>
      </w:pPr>
      <w:r>
        <w:br w:type="page"/>
      </w:r>
    </w:p>
    <w:p w14:paraId="542BC856" w14:textId="77777777" w:rsidR="00066642" w:rsidRDefault="00131870">
      <w:pPr>
        <w:pStyle w:val="Heading1"/>
        <w:pBdr>
          <w:bottom w:val="single" w:sz="10" w:space="4" w:color="B18F41"/>
        </w:pBdr>
      </w:pPr>
      <w:r>
        <w:t>PART D — STANDARDS SPECIFIC TO PODIATRIC SPECIALIST PRACTICE</w:t>
      </w:r>
    </w:p>
    <w:p w14:paraId="2EB172CB" w14:textId="77777777" w:rsidR="00066642" w:rsidRDefault="00131870">
      <w:pPr>
        <w:pStyle w:val="Heading2"/>
      </w:pPr>
      <w:r>
        <w:t>11. Podiatric Specialist status and representation</w:t>
      </w:r>
    </w:p>
    <w:p w14:paraId="688DB0A2" w14:textId="4230B915" w:rsidR="00066642" w:rsidRDefault="00131870">
      <w:pPr>
        <w:rPr>
          <w:rFonts w:hint="eastAsia"/>
        </w:rPr>
      </w:pPr>
      <w:r>
        <w:t xml:space="preserve">Members must accurately represent their statutory registration, qualifications, endorsements and professional status. </w:t>
      </w:r>
    </w:p>
    <w:p w14:paraId="1EBE1D5B" w14:textId="77777777" w:rsidR="00066642" w:rsidRDefault="00131870">
      <w:pPr>
        <w:rPr>
          <w:rFonts w:hint="eastAsia"/>
        </w:rPr>
      </w:pPr>
      <w:r>
        <w:t>Society membership or credentialing must not be represented as replacing statutory registration requirements.</w:t>
      </w:r>
    </w:p>
    <w:p w14:paraId="7E78F21D" w14:textId="77777777" w:rsidR="00066642" w:rsidRDefault="00131870">
      <w:pPr>
        <w:pStyle w:val="Heading2"/>
      </w:pPr>
      <w:r>
        <w:t>12. Surgical decision-making</w:t>
      </w:r>
    </w:p>
    <w:p w14:paraId="00ED3C5F" w14:textId="77777777" w:rsidR="00066642" w:rsidRDefault="00131870">
      <w:pPr>
        <w:rPr>
          <w:rFonts w:hint="eastAsia"/>
        </w:rPr>
      </w:pPr>
      <w:r>
        <w:t>Podiatric Specialists undertaking surgical care must recommend surgery only where they reasonably consider that the following requirements are satisfied:</w:t>
      </w:r>
    </w:p>
    <w:p w14:paraId="2831C97A" w14:textId="77777777" w:rsidR="00066642" w:rsidRDefault="00131870">
      <w:pPr>
        <w:ind w:left="259" w:hanging="259"/>
        <w:rPr>
          <w:rFonts w:hint="eastAsia"/>
        </w:rPr>
      </w:pPr>
      <w:r>
        <w:rPr>
          <w:b/>
        </w:rPr>
        <w:t xml:space="preserve">1. </w:t>
      </w:r>
      <w:r>
        <w:t>An appropriate diagnosis has been established.</w:t>
      </w:r>
    </w:p>
    <w:p w14:paraId="190B134F" w14:textId="77777777" w:rsidR="00066642" w:rsidRDefault="00131870">
      <w:pPr>
        <w:ind w:left="259" w:hanging="259"/>
        <w:rPr>
          <w:rFonts w:hint="eastAsia"/>
        </w:rPr>
      </w:pPr>
      <w:r>
        <w:rPr>
          <w:b/>
        </w:rPr>
        <w:t xml:space="preserve">2. </w:t>
      </w:r>
      <w:r>
        <w:t>The proposed surgery has an appropriate clinical indication.</w:t>
      </w:r>
    </w:p>
    <w:p w14:paraId="58F06F57" w14:textId="77777777" w:rsidR="00066642" w:rsidRDefault="00131870">
      <w:pPr>
        <w:ind w:left="259" w:hanging="259"/>
        <w:rPr>
          <w:rFonts w:hint="eastAsia"/>
        </w:rPr>
      </w:pPr>
      <w:r>
        <w:rPr>
          <w:b/>
        </w:rPr>
        <w:t xml:space="preserve">3. </w:t>
      </w:r>
      <w:r>
        <w:t>Expected benefits reasonably justify the risks.</w:t>
      </w:r>
    </w:p>
    <w:p w14:paraId="1AEC3031" w14:textId="77777777" w:rsidR="00066642" w:rsidRDefault="00131870">
      <w:pPr>
        <w:ind w:left="259" w:hanging="259"/>
        <w:rPr>
          <w:rFonts w:hint="eastAsia"/>
        </w:rPr>
      </w:pPr>
      <w:r>
        <w:rPr>
          <w:b/>
        </w:rPr>
        <w:t xml:space="preserve">4. </w:t>
      </w:r>
      <w:r>
        <w:t>Reasonable non-surgical alternatives have been considered.</w:t>
      </w:r>
    </w:p>
    <w:p w14:paraId="72017FD8" w14:textId="77777777" w:rsidR="00066642" w:rsidRDefault="00131870">
      <w:pPr>
        <w:ind w:left="259" w:hanging="259"/>
        <w:rPr>
          <w:rFonts w:hint="eastAsia"/>
        </w:rPr>
      </w:pPr>
      <w:r>
        <w:rPr>
          <w:b/>
        </w:rPr>
        <w:t xml:space="preserve">5. </w:t>
      </w:r>
      <w:r>
        <w:t>The patient has been appropriately assessed for surgical and anaesthetic risk.</w:t>
      </w:r>
    </w:p>
    <w:p w14:paraId="3E927C94" w14:textId="77777777" w:rsidR="00066642" w:rsidRDefault="00131870">
      <w:pPr>
        <w:ind w:left="259" w:hanging="259"/>
        <w:rPr>
          <w:rFonts w:hint="eastAsia"/>
        </w:rPr>
      </w:pPr>
      <w:r>
        <w:rPr>
          <w:b/>
        </w:rPr>
        <w:t xml:space="preserve">6. </w:t>
      </w:r>
      <w:r>
        <w:t>The Podiatric Specialist has the competence to undertake the surgery.</w:t>
      </w:r>
    </w:p>
    <w:p w14:paraId="14C1FE07" w14:textId="77777777" w:rsidR="00066642" w:rsidRDefault="00131870">
      <w:pPr>
        <w:ind w:left="259" w:hanging="259"/>
        <w:rPr>
          <w:rFonts w:hint="eastAsia"/>
        </w:rPr>
      </w:pPr>
      <w:r>
        <w:rPr>
          <w:b/>
        </w:rPr>
        <w:t xml:space="preserve">7. </w:t>
      </w:r>
      <w:r>
        <w:t>The surgery can be performed in an appropriately equipped and supported facility.</w:t>
      </w:r>
    </w:p>
    <w:p w14:paraId="713B1839" w14:textId="77777777" w:rsidR="00066642" w:rsidRDefault="00131870">
      <w:pPr>
        <w:rPr>
          <w:rFonts w:hint="eastAsia"/>
        </w:rPr>
      </w:pPr>
      <w:r>
        <w:t>Surgery must not be recommended primarily for commercial gain or practitioner convenience.</w:t>
      </w:r>
    </w:p>
    <w:p w14:paraId="031D4011" w14:textId="77777777" w:rsidR="00066642" w:rsidRDefault="00131870">
      <w:pPr>
        <w:pStyle w:val="Heading2"/>
      </w:pPr>
      <w:r>
        <w:t>13. Pre-surgical assessment</w:t>
      </w:r>
    </w:p>
    <w:p w14:paraId="142F7B4F" w14:textId="77777777" w:rsidR="00066642" w:rsidRDefault="00131870">
      <w:pPr>
        <w:rPr>
          <w:rFonts w:hint="eastAsia"/>
        </w:rPr>
      </w:pPr>
      <w:r>
        <w:t>Before surgery, the treating Podiatric Specialist must ensure appropriate consideration of relevant patient, surgical and anaesthetic risks.</w:t>
      </w:r>
    </w:p>
    <w:p w14:paraId="7C9A42D7" w14:textId="77777777" w:rsidR="00066642" w:rsidRDefault="00131870">
      <w:pPr>
        <w:pStyle w:val="ListBullet"/>
        <w:rPr>
          <w:rFonts w:hint="eastAsia"/>
        </w:rPr>
      </w:pPr>
      <w:r>
        <w:t>medical comorbidities</w:t>
      </w:r>
    </w:p>
    <w:p w14:paraId="45032B57" w14:textId="77777777" w:rsidR="00066642" w:rsidRDefault="00131870">
      <w:pPr>
        <w:pStyle w:val="ListBullet"/>
        <w:rPr>
          <w:rFonts w:hint="eastAsia"/>
        </w:rPr>
      </w:pPr>
      <w:r>
        <w:t>medication management, including anticoagulant and antiplatelet therapy</w:t>
      </w:r>
    </w:p>
    <w:p w14:paraId="25A27E8D" w14:textId="77777777" w:rsidR="00066642" w:rsidRDefault="00131870">
      <w:pPr>
        <w:pStyle w:val="ListBullet"/>
        <w:rPr>
          <w:rFonts w:hint="eastAsia"/>
        </w:rPr>
      </w:pPr>
      <w:r>
        <w:t>cardiovascular and metabolic risk</w:t>
      </w:r>
    </w:p>
    <w:p w14:paraId="65DDA7CF" w14:textId="77777777" w:rsidR="00066642" w:rsidRDefault="00131870">
      <w:pPr>
        <w:pStyle w:val="ListBullet"/>
        <w:rPr>
          <w:rFonts w:hint="eastAsia"/>
        </w:rPr>
      </w:pPr>
      <w:r>
        <w:t>diabetes and glycaemic considerations</w:t>
      </w:r>
    </w:p>
    <w:p w14:paraId="037BA012" w14:textId="77777777" w:rsidR="00066642" w:rsidRDefault="00131870">
      <w:pPr>
        <w:pStyle w:val="ListBullet"/>
        <w:rPr>
          <w:rFonts w:hint="eastAsia"/>
        </w:rPr>
      </w:pPr>
      <w:r>
        <w:t>infection risk</w:t>
      </w:r>
    </w:p>
    <w:p w14:paraId="38B88D49" w14:textId="77777777" w:rsidR="00066642" w:rsidRDefault="00131870">
      <w:pPr>
        <w:pStyle w:val="ListBullet"/>
        <w:rPr>
          <w:rFonts w:hint="eastAsia"/>
        </w:rPr>
      </w:pPr>
      <w:r>
        <w:t>smoking and other modifiable risk factors</w:t>
      </w:r>
    </w:p>
    <w:p w14:paraId="1B10EC95" w14:textId="77777777" w:rsidR="00066642" w:rsidRDefault="00131870">
      <w:pPr>
        <w:pStyle w:val="ListBullet"/>
        <w:rPr>
          <w:rFonts w:hint="eastAsia"/>
        </w:rPr>
      </w:pPr>
      <w:r>
        <w:t>vascular and neurological status</w:t>
      </w:r>
    </w:p>
    <w:p w14:paraId="7350D968" w14:textId="77777777" w:rsidR="00066642" w:rsidRDefault="00131870">
      <w:pPr>
        <w:pStyle w:val="ListBullet"/>
        <w:rPr>
          <w:rFonts w:hint="eastAsia"/>
        </w:rPr>
      </w:pPr>
      <w:r>
        <w:t>venous thromboembolism risk</w:t>
      </w:r>
    </w:p>
    <w:p w14:paraId="7FB15D58" w14:textId="77777777" w:rsidR="00066642" w:rsidRDefault="00131870">
      <w:pPr>
        <w:pStyle w:val="ListBullet"/>
        <w:rPr>
          <w:rFonts w:hint="eastAsia"/>
        </w:rPr>
      </w:pPr>
      <w:r>
        <w:t>previous anaesthetic complications</w:t>
      </w:r>
    </w:p>
    <w:p w14:paraId="5256EED5" w14:textId="77777777" w:rsidR="00066642" w:rsidRDefault="00131870">
      <w:pPr>
        <w:pStyle w:val="ListBullet"/>
        <w:rPr>
          <w:rFonts w:hint="eastAsia"/>
        </w:rPr>
      </w:pPr>
      <w:r>
        <w:t>allergies</w:t>
      </w:r>
    </w:p>
    <w:p w14:paraId="6C153093" w14:textId="77777777" w:rsidR="00066642" w:rsidRDefault="00131870">
      <w:pPr>
        <w:pStyle w:val="ListBullet"/>
        <w:rPr>
          <w:rFonts w:hint="eastAsia"/>
        </w:rPr>
      </w:pPr>
      <w:r>
        <w:t>relevant imaging</w:t>
      </w:r>
    </w:p>
    <w:p w14:paraId="03F57762" w14:textId="77777777" w:rsidR="00066642" w:rsidRDefault="00131870">
      <w:pPr>
        <w:pStyle w:val="ListBullet"/>
        <w:rPr>
          <w:rFonts w:hint="eastAsia"/>
        </w:rPr>
      </w:pPr>
      <w:r>
        <w:t xml:space="preserve">perioperative antibiotic </w:t>
      </w:r>
      <w:r>
        <w:t>requirements</w:t>
      </w:r>
    </w:p>
    <w:p w14:paraId="7AF1A75D" w14:textId="77777777" w:rsidR="00066642" w:rsidRDefault="00131870">
      <w:pPr>
        <w:pStyle w:val="ListBullet"/>
        <w:rPr>
          <w:rFonts w:hint="eastAsia"/>
        </w:rPr>
      </w:pPr>
      <w:r>
        <w:t>post-surgical pain management</w:t>
      </w:r>
    </w:p>
    <w:p w14:paraId="23AEA6E7" w14:textId="77777777" w:rsidR="00066642" w:rsidRDefault="00131870">
      <w:pPr>
        <w:pStyle w:val="ListBullet"/>
        <w:rPr>
          <w:rFonts w:hint="eastAsia"/>
        </w:rPr>
      </w:pPr>
      <w:r>
        <w:t>mobility and weight-bearing requirements</w:t>
      </w:r>
    </w:p>
    <w:p w14:paraId="7E45B92A" w14:textId="77777777" w:rsidR="00066642" w:rsidRDefault="00131870">
      <w:pPr>
        <w:pStyle w:val="ListBullet"/>
        <w:rPr>
          <w:rFonts w:hint="eastAsia"/>
        </w:rPr>
      </w:pPr>
      <w:r>
        <w:t>rehabilitation, social support and post-surgical care arrangements</w:t>
      </w:r>
    </w:p>
    <w:p w14:paraId="53DD8AE0" w14:textId="77777777" w:rsidR="00066642" w:rsidRDefault="00131870">
      <w:pPr>
        <w:rPr>
          <w:rFonts w:hint="eastAsia"/>
        </w:rPr>
      </w:pPr>
      <w:r>
        <w:t>Where issues extend beyond the Podiatric Specialist’s expertise, appropriate medical or multidisciplinary advice must be sought.</w:t>
      </w:r>
    </w:p>
    <w:p w14:paraId="75258EB6" w14:textId="77777777" w:rsidR="00066642" w:rsidRDefault="00131870">
      <w:pPr>
        <w:pStyle w:val="Heading2"/>
      </w:pPr>
      <w:r>
        <w:t>14. Consent for surgery</w:t>
      </w:r>
    </w:p>
    <w:p w14:paraId="3CE0C611" w14:textId="77777777" w:rsidR="00066642" w:rsidRDefault="00131870">
      <w:pPr>
        <w:rPr>
          <w:rFonts w:hint="eastAsia"/>
        </w:rPr>
      </w:pPr>
      <w:r>
        <w:t>Consent for surgery must include discussion of material risks relevant to the proposed surgery and the individual patient. Risks must be tailored to the patient rather than relying solely on a generic consent form.</w:t>
      </w:r>
    </w:p>
    <w:p w14:paraId="161B4E06" w14:textId="77777777" w:rsidR="00066642" w:rsidRDefault="00131870">
      <w:pPr>
        <w:pStyle w:val="ListBullet"/>
        <w:rPr>
          <w:rFonts w:hint="eastAsia"/>
        </w:rPr>
      </w:pPr>
      <w:r>
        <w:t>pain, swelling and infection</w:t>
      </w:r>
    </w:p>
    <w:p w14:paraId="308CF979" w14:textId="77777777" w:rsidR="00066642" w:rsidRDefault="00131870">
      <w:pPr>
        <w:pStyle w:val="ListBullet"/>
        <w:rPr>
          <w:rFonts w:hint="eastAsia"/>
        </w:rPr>
      </w:pPr>
      <w:r>
        <w:t>bleeding or haematoma</w:t>
      </w:r>
    </w:p>
    <w:p w14:paraId="2B4B60C3" w14:textId="77777777" w:rsidR="00066642" w:rsidRDefault="00131870">
      <w:pPr>
        <w:pStyle w:val="ListBullet"/>
        <w:rPr>
          <w:rFonts w:hint="eastAsia"/>
        </w:rPr>
      </w:pPr>
      <w:r>
        <w:t>wound complications and delayed healing</w:t>
      </w:r>
    </w:p>
    <w:p w14:paraId="05CBEF76" w14:textId="77777777" w:rsidR="00066642" w:rsidRDefault="00131870">
      <w:pPr>
        <w:pStyle w:val="ListBullet"/>
        <w:rPr>
          <w:rFonts w:hint="eastAsia"/>
        </w:rPr>
      </w:pPr>
      <w:r>
        <w:t>scarring</w:t>
      </w:r>
    </w:p>
    <w:p w14:paraId="7BAE3471" w14:textId="77777777" w:rsidR="00066642" w:rsidRDefault="00131870">
      <w:pPr>
        <w:pStyle w:val="ListBullet"/>
        <w:rPr>
          <w:rFonts w:hint="eastAsia"/>
        </w:rPr>
      </w:pPr>
      <w:r>
        <w:t>nerve injury, altered sensation or numbness</w:t>
      </w:r>
    </w:p>
    <w:p w14:paraId="651EC431" w14:textId="77777777" w:rsidR="00066642" w:rsidRDefault="00131870">
      <w:pPr>
        <w:pStyle w:val="ListBullet"/>
        <w:rPr>
          <w:rFonts w:hint="eastAsia"/>
        </w:rPr>
      </w:pPr>
      <w:r>
        <w:t>vascular injury</w:t>
      </w:r>
    </w:p>
    <w:p w14:paraId="6859706D" w14:textId="77777777" w:rsidR="00066642" w:rsidRDefault="00131870">
      <w:pPr>
        <w:pStyle w:val="ListBullet"/>
        <w:rPr>
          <w:rFonts w:hint="eastAsia"/>
        </w:rPr>
      </w:pPr>
      <w:r>
        <w:t>venous thromboembolism</w:t>
      </w:r>
    </w:p>
    <w:p w14:paraId="4A3B03A0" w14:textId="77777777" w:rsidR="00066642" w:rsidRDefault="00131870">
      <w:pPr>
        <w:pStyle w:val="ListBullet"/>
        <w:rPr>
          <w:rFonts w:hint="eastAsia"/>
        </w:rPr>
      </w:pPr>
      <w:r>
        <w:t>recurrence</w:t>
      </w:r>
    </w:p>
    <w:p w14:paraId="5506FEE5" w14:textId="77777777" w:rsidR="00066642" w:rsidRDefault="00131870">
      <w:pPr>
        <w:pStyle w:val="ListBullet"/>
        <w:rPr>
          <w:rFonts w:hint="eastAsia"/>
        </w:rPr>
      </w:pPr>
      <w:r>
        <w:t>stiffness or weakness</w:t>
      </w:r>
    </w:p>
    <w:p w14:paraId="086D7501" w14:textId="77777777" w:rsidR="00066642" w:rsidRDefault="00131870">
      <w:pPr>
        <w:pStyle w:val="ListBullet"/>
        <w:rPr>
          <w:rFonts w:hint="eastAsia"/>
        </w:rPr>
      </w:pPr>
      <w:r>
        <w:t>malalignment or transfer symptoms</w:t>
      </w:r>
    </w:p>
    <w:p w14:paraId="6A2E6AB9" w14:textId="77777777" w:rsidR="00066642" w:rsidRDefault="00131870">
      <w:pPr>
        <w:pStyle w:val="ListBullet"/>
        <w:rPr>
          <w:rFonts w:hint="eastAsia"/>
        </w:rPr>
      </w:pPr>
      <w:r>
        <w:t>hardware-related complications</w:t>
      </w:r>
    </w:p>
    <w:p w14:paraId="11C1205D" w14:textId="77777777" w:rsidR="00066642" w:rsidRDefault="00131870">
      <w:pPr>
        <w:pStyle w:val="ListBullet"/>
        <w:rPr>
          <w:rFonts w:hint="eastAsia"/>
        </w:rPr>
      </w:pPr>
      <w:r>
        <w:t>delayed union, non-union or malunion</w:t>
      </w:r>
    </w:p>
    <w:p w14:paraId="39034B81" w14:textId="77777777" w:rsidR="00066642" w:rsidRDefault="00131870">
      <w:pPr>
        <w:pStyle w:val="ListBullet"/>
        <w:rPr>
          <w:rFonts w:hint="eastAsia"/>
        </w:rPr>
      </w:pPr>
      <w:r>
        <w:t>complex regional pain syndrome</w:t>
      </w:r>
    </w:p>
    <w:p w14:paraId="4E7464C9" w14:textId="77777777" w:rsidR="00066642" w:rsidRDefault="00131870">
      <w:pPr>
        <w:pStyle w:val="ListBullet"/>
        <w:rPr>
          <w:rFonts w:hint="eastAsia"/>
        </w:rPr>
      </w:pPr>
      <w:r>
        <w:t>need for further or revision surgery</w:t>
      </w:r>
    </w:p>
    <w:p w14:paraId="624B5373" w14:textId="77777777" w:rsidR="00066642" w:rsidRDefault="00131870">
      <w:pPr>
        <w:pStyle w:val="ListBullet"/>
        <w:rPr>
          <w:rFonts w:hint="eastAsia"/>
        </w:rPr>
      </w:pPr>
      <w:r>
        <w:t>anaesthetic complications</w:t>
      </w:r>
    </w:p>
    <w:p w14:paraId="7ECD5A36" w14:textId="77777777" w:rsidR="00066642" w:rsidRDefault="00131870">
      <w:pPr>
        <w:pStyle w:val="ListBullet"/>
        <w:rPr>
          <w:rFonts w:hint="eastAsia"/>
        </w:rPr>
      </w:pPr>
      <w:r>
        <w:t>other material risks specific to the patient and proposed surgery</w:t>
      </w:r>
    </w:p>
    <w:p w14:paraId="270AB7FD" w14:textId="77777777" w:rsidR="00066642" w:rsidRDefault="00131870">
      <w:pPr>
        <w:pStyle w:val="Heading2"/>
      </w:pPr>
      <w:r>
        <w:t>15. Surgical facility and clinical environment</w:t>
      </w:r>
    </w:p>
    <w:p w14:paraId="61412DD0" w14:textId="77777777" w:rsidR="00066642" w:rsidRDefault="00131870">
      <w:pPr>
        <w:rPr>
          <w:rFonts w:hint="eastAsia"/>
        </w:rPr>
      </w:pPr>
      <w:r>
        <w:t>Surgery must be performed in an environment appropriate to the complexity of the surgery, patient health status, anaesthesia, foreseeable complications, infection-prevention requirements, monitoring needs and emergency response requirements.</w:t>
      </w:r>
    </w:p>
    <w:p w14:paraId="1C877AA7" w14:textId="77777777" w:rsidR="00066642" w:rsidRDefault="00131870">
      <w:pPr>
        <w:rPr>
          <w:rFonts w:hint="eastAsia"/>
        </w:rPr>
      </w:pPr>
      <w:r>
        <w:t>Members must comply with applicable facility accreditation, clinical governance, infection-control and medicines requirements. Surgery must not be undertaken in a setting that lacks the equipment, personnel or emergency resources reasonably required for safe care.</w:t>
      </w:r>
    </w:p>
    <w:p w14:paraId="14791656" w14:textId="77777777" w:rsidR="00066642" w:rsidRDefault="00131870">
      <w:pPr>
        <w:pStyle w:val="Heading2"/>
      </w:pPr>
      <w:r>
        <w:t>16. Surgical safety</w:t>
      </w:r>
    </w:p>
    <w:p w14:paraId="045AA787" w14:textId="77777777" w:rsidR="00066642" w:rsidRDefault="00131870">
      <w:pPr>
        <w:pStyle w:val="ListBullet"/>
        <w:rPr>
          <w:rFonts w:hint="eastAsia"/>
        </w:rPr>
      </w:pPr>
      <w:r>
        <w:t>correct patient identification</w:t>
      </w:r>
    </w:p>
    <w:p w14:paraId="24D9A80F" w14:textId="77777777" w:rsidR="00066642" w:rsidRDefault="00131870">
      <w:pPr>
        <w:pStyle w:val="ListBullet"/>
        <w:rPr>
          <w:rFonts w:hint="eastAsia"/>
        </w:rPr>
      </w:pPr>
      <w:r>
        <w:t>confirmation of planned surgery</w:t>
      </w:r>
    </w:p>
    <w:p w14:paraId="4D10FBE6" w14:textId="77777777" w:rsidR="00066642" w:rsidRDefault="00131870">
      <w:pPr>
        <w:pStyle w:val="ListBullet"/>
        <w:rPr>
          <w:rFonts w:hint="eastAsia"/>
        </w:rPr>
      </w:pPr>
      <w:r>
        <w:t>confirmation of surgical site and side</w:t>
      </w:r>
    </w:p>
    <w:p w14:paraId="1F9C8617" w14:textId="77777777" w:rsidR="00066642" w:rsidRDefault="00131870">
      <w:pPr>
        <w:pStyle w:val="ListBullet"/>
        <w:rPr>
          <w:rFonts w:hint="eastAsia"/>
        </w:rPr>
      </w:pPr>
      <w:r>
        <w:t>appropriate site marking</w:t>
      </w:r>
    </w:p>
    <w:p w14:paraId="52D0EA89" w14:textId="77777777" w:rsidR="00066642" w:rsidRDefault="00131870">
      <w:pPr>
        <w:pStyle w:val="ListBullet"/>
        <w:rPr>
          <w:rFonts w:hint="eastAsia"/>
        </w:rPr>
      </w:pPr>
      <w:r>
        <w:t>allergy confirmation</w:t>
      </w:r>
    </w:p>
    <w:p w14:paraId="33C25CDE" w14:textId="77777777" w:rsidR="00066642" w:rsidRDefault="00131870">
      <w:pPr>
        <w:pStyle w:val="ListBullet"/>
        <w:rPr>
          <w:rFonts w:hint="eastAsia"/>
        </w:rPr>
      </w:pPr>
      <w:r>
        <w:t>review of relevant imaging</w:t>
      </w:r>
    </w:p>
    <w:p w14:paraId="427174FC" w14:textId="77777777" w:rsidR="00066642" w:rsidRDefault="00131870">
      <w:pPr>
        <w:pStyle w:val="ListBullet"/>
        <w:rPr>
          <w:rFonts w:hint="eastAsia"/>
        </w:rPr>
      </w:pPr>
      <w:r>
        <w:t xml:space="preserve">availability of required implants and </w:t>
      </w:r>
      <w:r>
        <w:t>equipment</w:t>
      </w:r>
    </w:p>
    <w:p w14:paraId="15A1B434" w14:textId="77777777" w:rsidR="00066642" w:rsidRDefault="00131870">
      <w:pPr>
        <w:pStyle w:val="ListBullet"/>
        <w:rPr>
          <w:rFonts w:hint="eastAsia"/>
        </w:rPr>
      </w:pPr>
      <w:r>
        <w:t>antibiotic prophylaxis where indicated</w:t>
      </w:r>
    </w:p>
    <w:p w14:paraId="778ADB65" w14:textId="77777777" w:rsidR="00066642" w:rsidRDefault="00131870">
      <w:pPr>
        <w:pStyle w:val="ListBullet"/>
        <w:rPr>
          <w:rFonts w:hint="eastAsia"/>
        </w:rPr>
      </w:pPr>
      <w:r>
        <w:t>thromboprophylaxis assessment</w:t>
      </w:r>
    </w:p>
    <w:p w14:paraId="250FADD9" w14:textId="77777777" w:rsidR="00066642" w:rsidRDefault="00131870">
      <w:pPr>
        <w:pStyle w:val="ListBullet"/>
        <w:rPr>
          <w:rFonts w:hint="eastAsia"/>
        </w:rPr>
      </w:pPr>
      <w:r>
        <w:t>team briefing and surgical time-out</w:t>
      </w:r>
    </w:p>
    <w:p w14:paraId="658D36EB" w14:textId="77777777" w:rsidR="00066642" w:rsidRDefault="00131870">
      <w:pPr>
        <w:pStyle w:val="ListBullet"/>
        <w:rPr>
          <w:rFonts w:hint="eastAsia"/>
        </w:rPr>
      </w:pPr>
      <w:r>
        <w:t>instrument and swab reconciliation where applicable</w:t>
      </w:r>
    </w:p>
    <w:p w14:paraId="7580D472" w14:textId="77777777" w:rsidR="00066642" w:rsidRDefault="00131870">
      <w:pPr>
        <w:pStyle w:val="ListBullet"/>
        <w:rPr>
          <w:rFonts w:hint="eastAsia"/>
        </w:rPr>
      </w:pPr>
      <w:r>
        <w:t>safe post-surgical handover</w:t>
      </w:r>
    </w:p>
    <w:p w14:paraId="6A631C03" w14:textId="77777777" w:rsidR="00066642" w:rsidRDefault="00131870">
      <w:pPr>
        <w:pStyle w:val="Heading2"/>
      </w:pPr>
      <w:r>
        <w:t>17. Post-surgical care and continuity</w:t>
      </w:r>
    </w:p>
    <w:p w14:paraId="77369001" w14:textId="77777777" w:rsidR="00066642" w:rsidRDefault="00131870">
      <w:pPr>
        <w:rPr>
          <w:rFonts w:hint="eastAsia"/>
        </w:rPr>
      </w:pPr>
      <w:r>
        <w:t xml:space="preserve">The treating </w:t>
      </w:r>
      <w:r>
        <w:t>Podiatric Specialist retains responsibility for ensuring that appropriate post-surgical care arrangements are established. Significant post-surgical complications must be assessed promptly and managed appropriately. Where responsibility is transferred, appropriate clinical handover must occur.</w:t>
      </w:r>
    </w:p>
    <w:p w14:paraId="033F6C4E" w14:textId="77777777" w:rsidR="00066642" w:rsidRDefault="00131870">
      <w:pPr>
        <w:pStyle w:val="ListBullet"/>
        <w:rPr>
          <w:rFonts w:hint="eastAsia"/>
        </w:rPr>
      </w:pPr>
      <w:r>
        <w:t>wound and dressing care</w:t>
      </w:r>
    </w:p>
    <w:p w14:paraId="332A9C37" w14:textId="77777777" w:rsidR="00066642" w:rsidRDefault="00131870">
      <w:pPr>
        <w:pStyle w:val="ListBullet"/>
        <w:rPr>
          <w:rFonts w:hint="eastAsia"/>
        </w:rPr>
      </w:pPr>
      <w:r>
        <w:t>weight-bearing status and mobility restrictions</w:t>
      </w:r>
    </w:p>
    <w:p w14:paraId="04B7C673" w14:textId="77777777" w:rsidR="00066642" w:rsidRDefault="00131870">
      <w:pPr>
        <w:pStyle w:val="ListBullet"/>
        <w:rPr>
          <w:rFonts w:hint="eastAsia"/>
        </w:rPr>
      </w:pPr>
      <w:r>
        <w:t>medication and pain management</w:t>
      </w:r>
    </w:p>
    <w:p w14:paraId="1944D371" w14:textId="77777777" w:rsidR="00066642" w:rsidRDefault="00131870">
      <w:pPr>
        <w:pStyle w:val="ListBullet"/>
        <w:rPr>
          <w:rFonts w:hint="eastAsia"/>
        </w:rPr>
      </w:pPr>
      <w:r>
        <w:t>warning signs of complications</w:t>
      </w:r>
    </w:p>
    <w:p w14:paraId="0070493B" w14:textId="77777777" w:rsidR="00066642" w:rsidRDefault="00131870">
      <w:pPr>
        <w:pStyle w:val="ListBullet"/>
        <w:rPr>
          <w:rFonts w:hint="eastAsia"/>
        </w:rPr>
      </w:pPr>
      <w:r>
        <w:t>emergency contact arrangements</w:t>
      </w:r>
    </w:p>
    <w:p w14:paraId="6EB6123B" w14:textId="77777777" w:rsidR="00066642" w:rsidRDefault="00131870">
      <w:pPr>
        <w:pStyle w:val="ListBullet"/>
        <w:rPr>
          <w:rFonts w:hint="eastAsia"/>
        </w:rPr>
      </w:pPr>
      <w:r>
        <w:t>follow-up appointments</w:t>
      </w:r>
    </w:p>
    <w:p w14:paraId="59E64B4F" w14:textId="77777777" w:rsidR="00066642" w:rsidRDefault="00131870">
      <w:pPr>
        <w:pStyle w:val="ListBullet"/>
        <w:rPr>
          <w:rFonts w:hint="eastAsia"/>
        </w:rPr>
      </w:pPr>
      <w:r>
        <w:t>rehabilitation</w:t>
      </w:r>
    </w:p>
    <w:p w14:paraId="72E3EE09" w14:textId="77777777" w:rsidR="00066642" w:rsidRDefault="00131870">
      <w:pPr>
        <w:pStyle w:val="ListBullet"/>
        <w:rPr>
          <w:rFonts w:hint="eastAsia"/>
        </w:rPr>
      </w:pPr>
      <w:r>
        <w:t>return to driving and work</w:t>
      </w:r>
    </w:p>
    <w:p w14:paraId="2D2FD565" w14:textId="77777777" w:rsidR="00066642" w:rsidRDefault="00131870">
      <w:pPr>
        <w:pStyle w:val="ListBullet"/>
        <w:rPr>
          <w:rFonts w:hint="eastAsia"/>
        </w:rPr>
      </w:pPr>
      <w:r>
        <w:t>anticipated recovery</w:t>
      </w:r>
    </w:p>
    <w:p w14:paraId="1F1A3C90" w14:textId="77777777" w:rsidR="00066642" w:rsidRDefault="00131870">
      <w:pPr>
        <w:pStyle w:val="Heading2"/>
      </w:pPr>
      <w:r>
        <w:t>18. Clinical audit and surgical outcomes</w:t>
      </w:r>
    </w:p>
    <w:p w14:paraId="4C9234FB" w14:textId="77777777" w:rsidR="00066642" w:rsidRDefault="00131870">
      <w:pPr>
        <w:rPr>
          <w:rFonts w:hint="eastAsia"/>
        </w:rPr>
      </w:pPr>
      <w:r>
        <w:t>Podiatric Specialists should participate in meaningful clinical audit, outcome review and quality-improvement activities. Adverse outcomes must not be concealed or deliberately excluded from audit to improve apparent performance.</w:t>
      </w:r>
    </w:p>
    <w:p w14:paraId="200764C4" w14:textId="77777777" w:rsidR="00066642" w:rsidRDefault="00131870">
      <w:pPr>
        <w:pStyle w:val="ListBullet"/>
        <w:rPr>
          <w:rFonts w:hint="eastAsia"/>
        </w:rPr>
      </w:pPr>
      <w:r>
        <w:t>surgical volume</w:t>
      </w:r>
    </w:p>
    <w:p w14:paraId="56B1760A" w14:textId="77777777" w:rsidR="00066642" w:rsidRDefault="00131870">
      <w:pPr>
        <w:pStyle w:val="ListBullet"/>
        <w:rPr>
          <w:rFonts w:hint="eastAsia"/>
        </w:rPr>
      </w:pPr>
      <w:r>
        <w:t>complications and infections</w:t>
      </w:r>
    </w:p>
    <w:p w14:paraId="710A385E" w14:textId="77777777" w:rsidR="00066642" w:rsidRDefault="00131870">
      <w:pPr>
        <w:pStyle w:val="ListBullet"/>
        <w:rPr>
          <w:rFonts w:hint="eastAsia"/>
        </w:rPr>
      </w:pPr>
      <w:r>
        <w:t>readmissions</w:t>
      </w:r>
    </w:p>
    <w:p w14:paraId="30216D14" w14:textId="77777777" w:rsidR="00066642" w:rsidRDefault="00131870">
      <w:pPr>
        <w:pStyle w:val="ListBullet"/>
        <w:rPr>
          <w:rFonts w:hint="eastAsia"/>
        </w:rPr>
      </w:pPr>
      <w:r>
        <w:t>reoperations and revision surgery</w:t>
      </w:r>
    </w:p>
    <w:p w14:paraId="0D6266B8" w14:textId="77777777" w:rsidR="00066642" w:rsidRDefault="00131870">
      <w:pPr>
        <w:pStyle w:val="ListBullet"/>
        <w:rPr>
          <w:rFonts w:hint="eastAsia"/>
        </w:rPr>
      </w:pPr>
      <w:r>
        <w:t>unexpected outcomes</w:t>
      </w:r>
    </w:p>
    <w:p w14:paraId="130B5B24" w14:textId="77777777" w:rsidR="00066642" w:rsidRDefault="00131870">
      <w:pPr>
        <w:pStyle w:val="ListBullet"/>
        <w:rPr>
          <w:rFonts w:hint="eastAsia"/>
        </w:rPr>
      </w:pPr>
      <w:r>
        <w:t>patient-reported outcomes where practicable</w:t>
      </w:r>
    </w:p>
    <w:p w14:paraId="35B433B1" w14:textId="77777777" w:rsidR="00066642" w:rsidRDefault="00131870">
      <w:pPr>
        <w:rPr>
          <w:rFonts w:hint="eastAsia"/>
        </w:rPr>
      </w:pPr>
      <w:r>
        <w:br w:type="page"/>
      </w:r>
    </w:p>
    <w:p w14:paraId="5D2FEF4E" w14:textId="77777777" w:rsidR="00066642" w:rsidRDefault="00131870">
      <w:pPr>
        <w:pStyle w:val="Heading1"/>
        <w:pBdr>
          <w:bottom w:val="single" w:sz="10" w:space="4" w:color="B18F41"/>
        </w:pBdr>
      </w:pPr>
      <w:r>
        <w:t>PART E — MEDICINES AND PRESCRIBING</w:t>
      </w:r>
    </w:p>
    <w:p w14:paraId="12FC73A8" w14:textId="77777777" w:rsidR="00066642" w:rsidRDefault="00131870">
      <w:pPr>
        <w:pStyle w:val="Heading2"/>
      </w:pPr>
      <w:r>
        <w:t xml:space="preserve">19. </w:t>
      </w:r>
      <w:r>
        <w:t>Scheduled medicines</w:t>
      </w:r>
    </w:p>
    <w:p w14:paraId="79EDB238" w14:textId="77777777" w:rsidR="00066642" w:rsidRDefault="00131870">
      <w:pPr>
        <w:rPr>
          <w:rFonts w:hint="eastAsia"/>
        </w:rPr>
      </w:pPr>
      <w:r>
        <w:t>Members who prescribe, supply, administer, possess or otherwise use scheduled medicines must hold all required registration and endorsements and comply with applicable Commonwealth, state and territory medicines legislation.</w:t>
      </w:r>
    </w:p>
    <w:p w14:paraId="2EDB0568" w14:textId="77777777" w:rsidR="00066642" w:rsidRDefault="00131870">
      <w:pPr>
        <w:pStyle w:val="ListBullet"/>
        <w:rPr>
          <w:rFonts w:hint="eastAsia"/>
        </w:rPr>
      </w:pPr>
      <w:r>
        <w:t>prescribe within lawful scope</w:t>
      </w:r>
    </w:p>
    <w:p w14:paraId="236B3263" w14:textId="77777777" w:rsidR="00066642" w:rsidRDefault="00131870">
      <w:pPr>
        <w:pStyle w:val="ListBullet"/>
        <w:rPr>
          <w:rFonts w:hint="eastAsia"/>
        </w:rPr>
      </w:pPr>
      <w:r>
        <w:t>maintain competence in pharmacology and therapeutics</w:t>
      </w:r>
    </w:p>
    <w:p w14:paraId="6278BE01" w14:textId="77777777" w:rsidR="00066642" w:rsidRDefault="00131870">
      <w:pPr>
        <w:pStyle w:val="ListBullet"/>
        <w:rPr>
          <w:rFonts w:hint="eastAsia"/>
        </w:rPr>
      </w:pPr>
      <w:r>
        <w:t>consider interactions, allergies, contraindications and patient-specific risk</w:t>
      </w:r>
    </w:p>
    <w:p w14:paraId="4D1E157D" w14:textId="77777777" w:rsidR="00066642" w:rsidRDefault="00131870">
      <w:pPr>
        <w:pStyle w:val="ListBullet"/>
        <w:rPr>
          <w:rFonts w:hint="eastAsia"/>
        </w:rPr>
      </w:pPr>
      <w:r>
        <w:t>maintain appropriate prescribing records</w:t>
      </w:r>
    </w:p>
    <w:p w14:paraId="162B302F" w14:textId="77777777" w:rsidR="00066642" w:rsidRDefault="00131870">
      <w:pPr>
        <w:pStyle w:val="ListBullet"/>
        <w:rPr>
          <w:rFonts w:hint="eastAsia"/>
        </w:rPr>
      </w:pPr>
      <w:r>
        <w:t>communicate with other treating practitioners where appropriate</w:t>
      </w:r>
    </w:p>
    <w:p w14:paraId="11E43166" w14:textId="77777777" w:rsidR="00066642" w:rsidRDefault="00131870">
      <w:pPr>
        <w:pStyle w:val="ListBullet"/>
        <w:rPr>
          <w:rFonts w:hint="eastAsia"/>
        </w:rPr>
      </w:pPr>
      <w:r>
        <w:t>comply with requirements for monitored and Schedule 8 medicines</w:t>
      </w:r>
    </w:p>
    <w:p w14:paraId="7A47E3FA" w14:textId="77777777" w:rsidR="00066642" w:rsidRDefault="00131870">
      <w:pPr>
        <w:rPr>
          <w:rFonts w:hint="eastAsia"/>
        </w:rPr>
      </w:pPr>
      <w:r>
        <w:t>Members must not prescribe or supply medicines for improper purposes. Self-prescribing and prescribing for family members should be avoided except where legally permitted and clinically appropriate in genuinely exceptional circumstances.</w:t>
      </w:r>
    </w:p>
    <w:p w14:paraId="3301EA6D" w14:textId="77777777" w:rsidR="00066642" w:rsidRDefault="00131870">
      <w:pPr>
        <w:pStyle w:val="Heading2"/>
      </w:pPr>
      <w:r>
        <w:t>20. Antimicrobial stewardship</w:t>
      </w:r>
    </w:p>
    <w:p w14:paraId="6B8B3422" w14:textId="77777777" w:rsidR="00066642" w:rsidRDefault="00131870">
      <w:pPr>
        <w:pStyle w:val="ListBullet"/>
        <w:rPr>
          <w:rFonts w:hint="eastAsia"/>
        </w:rPr>
      </w:pPr>
      <w:r>
        <w:t>avoid unnecessary antibiotic prescribing</w:t>
      </w:r>
    </w:p>
    <w:p w14:paraId="565BE2B4" w14:textId="77777777" w:rsidR="00066642" w:rsidRDefault="00131870">
      <w:pPr>
        <w:pStyle w:val="ListBullet"/>
        <w:rPr>
          <w:rFonts w:hint="eastAsia"/>
        </w:rPr>
      </w:pPr>
      <w:r>
        <w:t>use an appropriate agent, dose and duration</w:t>
      </w:r>
    </w:p>
    <w:p w14:paraId="1E14F207" w14:textId="77777777" w:rsidR="00066642" w:rsidRDefault="00131870">
      <w:pPr>
        <w:pStyle w:val="ListBullet"/>
        <w:rPr>
          <w:rFonts w:hint="eastAsia"/>
        </w:rPr>
      </w:pPr>
      <w:r>
        <w:t>obtain cultures where clinically appropriate</w:t>
      </w:r>
    </w:p>
    <w:p w14:paraId="2495B9D5" w14:textId="77777777" w:rsidR="00066642" w:rsidRDefault="00131870">
      <w:pPr>
        <w:pStyle w:val="ListBullet"/>
        <w:rPr>
          <w:rFonts w:hint="eastAsia"/>
        </w:rPr>
      </w:pPr>
      <w:r>
        <w:t>consider resistance patterns and current guidance where relevant</w:t>
      </w:r>
    </w:p>
    <w:p w14:paraId="1F06D834" w14:textId="77777777" w:rsidR="00066642" w:rsidRDefault="00131870">
      <w:pPr>
        <w:pStyle w:val="ListBullet"/>
        <w:rPr>
          <w:rFonts w:hint="eastAsia"/>
        </w:rPr>
      </w:pPr>
      <w:r>
        <w:t>review and modify treatment when clinical or microbiological information becomes available</w:t>
      </w:r>
    </w:p>
    <w:p w14:paraId="64A102BA" w14:textId="77777777" w:rsidR="00066642" w:rsidRDefault="00131870">
      <w:pPr>
        <w:rPr>
          <w:rFonts w:hint="eastAsia"/>
        </w:rPr>
      </w:pPr>
      <w:r>
        <w:br w:type="page"/>
      </w:r>
    </w:p>
    <w:p w14:paraId="0FF2907C" w14:textId="77777777" w:rsidR="00066642" w:rsidRDefault="00131870">
      <w:pPr>
        <w:pStyle w:val="Heading1"/>
        <w:pBdr>
          <w:bottom w:val="single" w:sz="10" w:space="4" w:color="B18F41"/>
        </w:pBdr>
      </w:pPr>
      <w:r>
        <w:t>PART F — COMMUNICATION, RECORDS AND CONFIDENTIALITY</w:t>
      </w:r>
    </w:p>
    <w:p w14:paraId="679DA2A3" w14:textId="77777777" w:rsidR="00066642" w:rsidRDefault="00131870">
      <w:pPr>
        <w:pStyle w:val="Heading2"/>
      </w:pPr>
      <w:r>
        <w:t>21. Clinical records</w:t>
      </w:r>
    </w:p>
    <w:p w14:paraId="25752CE5" w14:textId="77777777" w:rsidR="00066642" w:rsidRDefault="00131870">
      <w:pPr>
        <w:rPr>
          <w:rFonts w:hint="eastAsia"/>
        </w:rPr>
      </w:pPr>
      <w:r>
        <w:t>Members must maintain accurate, contemporaneous and sufficiently detailed clinical records. Records must not be retrospectively altered in a misleading manner. Later amendments should be identifiable and appropriately dated.</w:t>
      </w:r>
    </w:p>
    <w:p w14:paraId="1B481354" w14:textId="77777777" w:rsidR="00066642" w:rsidRDefault="00131870">
      <w:pPr>
        <w:pStyle w:val="ListBullet"/>
        <w:rPr>
          <w:rFonts w:hint="eastAsia"/>
        </w:rPr>
      </w:pPr>
      <w:r>
        <w:t>history, examination and assessment</w:t>
      </w:r>
    </w:p>
    <w:p w14:paraId="371A3197" w14:textId="77777777" w:rsidR="00066642" w:rsidRDefault="00131870">
      <w:pPr>
        <w:pStyle w:val="ListBullet"/>
        <w:rPr>
          <w:rFonts w:hint="eastAsia"/>
        </w:rPr>
      </w:pPr>
      <w:r>
        <w:t>diagnosis and differential diagnosis where relevant</w:t>
      </w:r>
    </w:p>
    <w:p w14:paraId="02ED50EA" w14:textId="77777777" w:rsidR="00066642" w:rsidRDefault="00131870">
      <w:pPr>
        <w:pStyle w:val="ListBullet"/>
        <w:rPr>
          <w:rFonts w:hint="eastAsia"/>
        </w:rPr>
      </w:pPr>
      <w:r>
        <w:t>investigations and imaging</w:t>
      </w:r>
    </w:p>
    <w:p w14:paraId="6545D96D" w14:textId="77777777" w:rsidR="00066642" w:rsidRDefault="00131870">
      <w:pPr>
        <w:pStyle w:val="ListBullet"/>
        <w:rPr>
          <w:rFonts w:hint="eastAsia"/>
        </w:rPr>
      </w:pPr>
      <w:r>
        <w:t>treatment options and clinical reasoning</w:t>
      </w:r>
    </w:p>
    <w:p w14:paraId="43B32230" w14:textId="77777777" w:rsidR="00066642" w:rsidRDefault="00131870">
      <w:pPr>
        <w:pStyle w:val="ListBullet"/>
        <w:rPr>
          <w:rFonts w:hint="eastAsia"/>
        </w:rPr>
      </w:pPr>
      <w:r>
        <w:t>consent</w:t>
      </w:r>
    </w:p>
    <w:p w14:paraId="4A335205" w14:textId="77777777" w:rsidR="00066642" w:rsidRDefault="00131870">
      <w:pPr>
        <w:pStyle w:val="ListBullet"/>
        <w:rPr>
          <w:rFonts w:hint="eastAsia"/>
        </w:rPr>
      </w:pPr>
      <w:r>
        <w:t>treatment or surgery provided</w:t>
      </w:r>
    </w:p>
    <w:p w14:paraId="2DDE67B4" w14:textId="77777777" w:rsidR="00066642" w:rsidRDefault="00131870">
      <w:pPr>
        <w:pStyle w:val="ListBullet"/>
        <w:rPr>
          <w:rFonts w:hint="eastAsia"/>
        </w:rPr>
      </w:pPr>
      <w:r>
        <w:t>prescriptions and referrals</w:t>
      </w:r>
    </w:p>
    <w:p w14:paraId="483D2EB8" w14:textId="77777777" w:rsidR="00066642" w:rsidRDefault="00131870">
      <w:pPr>
        <w:pStyle w:val="ListBullet"/>
        <w:rPr>
          <w:rFonts w:hint="eastAsia"/>
        </w:rPr>
      </w:pPr>
      <w:r>
        <w:t>significant communications</w:t>
      </w:r>
    </w:p>
    <w:p w14:paraId="6E3629E0" w14:textId="77777777" w:rsidR="00066642" w:rsidRDefault="00131870">
      <w:pPr>
        <w:pStyle w:val="ListBullet"/>
        <w:rPr>
          <w:rFonts w:hint="eastAsia"/>
        </w:rPr>
      </w:pPr>
      <w:r>
        <w:t>post-surgical instructions</w:t>
      </w:r>
    </w:p>
    <w:p w14:paraId="2EF158D5" w14:textId="77777777" w:rsidR="00066642" w:rsidRDefault="00131870">
      <w:pPr>
        <w:pStyle w:val="ListBullet"/>
        <w:rPr>
          <w:rFonts w:hint="eastAsia"/>
        </w:rPr>
      </w:pPr>
      <w:r>
        <w:t>complications and follow-up</w:t>
      </w:r>
    </w:p>
    <w:p w14:paraId="7BE9B0ED" w14:textId="77777777" w:rsidR="00066642" w:rsidRDefault="00131870">
      <w:pPr>
        <w:pStyle w:val="Heading2"/>
      </w:pPr>
      <w:r>
        <w:t>22. Privacy and confidentiality</w:t>
      </w:r>
    </w:p>
    <w:p w14:paraId="4F357439" w14:textId="77777777" w:rsidR="00066642" w:rsidRDefault="00131870">
      <w:pPr>
        <w:rPr>
          <w:rFonts w:hint="eastAsia"/>
        </w:rPr>
      </w:pPr>
      <w:r>
        <w:t xml:space="preserve">Members must protect </w:t>
      </w:r>
      <w:r>
        <w:t>confidential patient information in accordance with applicable privacy, health-records and professional obligations. Information should only be accessed, used or disclosed where clinically necessary, authorised, legally required or otherwise professionally justified. Reasonable measures must protect electronic information from unauthorised access.</w:t>
      </w:r>
    </w:p>
    <w:p w14:paraId="50B89FEC" w14:textId="77777777" w:rsidR="00066642" w:rsidRDefault="00131870">
      <w:pPr>
        <w:pStyle w:val="Heading2"/>
      </w:pPr>
      <w:r>
        <w:t>23. Communication with patients</w:t>
      </w:r>
    </w:p>
    <w:p w14:paraId="55DC0C2E" w14:textId="77777777" w:rsidR="00066642" w:rsidRDefault="00131870">
      <w:pPr>
        <w:rPr>
          <w:rFonts w:hint="eastAsia"/>
        </w:rPr>
      </w:pPr>
      <w:r>
        <w:t>Members must communicate honestly, respectfully and in language reasonably understandable to the patient. Interpreters, communication aids, additional consultation time or support persons should be facilitated where required for effective communication.</w:t>
      </w:r>
    </w:p>
    <w:p w14:paraId="75CC2CAE" w14:textId="77777777" w:rsidR="00066642" w:rsidRDefault="00131870">
      <w:pPr>
        <w:rPr>
          <w:rFonts w:hint="eastAsia"/>
        </w:rPr>
      </w:pPr>
      <w:r>
        <w:br w:type="page"/>
      </w:r>
    </w:p>
    <w:p w14:paraId="34DB0599" w14:textId="77777777" w:rsidR="00066642" w:rsidRDefault="00131870">
      <w:pPr>
        <w:pStyle w:val="Heading1"/>
        <w:pBdr>
          <w:bottom w:val="single" w:sz="10" w:space="4" w:color="B18F41"/>
        </w:pBdr>
      </w:pPr>
      <w:r>
        <w:t>PART G — COLLEAGUES AND THE HEALTHCARE TEAM</w:t>
      </w:r>
    </w:p>
    <w:p w14:paraId="5172981F" w14:textId="77777777" w:rsidR="00066642" w:rsidRDefault="00131870">
      <w:pPr>
        <w:pStyle w:val="Heading2"/>
      </w:pPr>
      <w:r>
        <w:t>24. Professional relationships</w:t>
      </w:r>
    </w:p>
    <w:p w14:paraId="3442B96D" w14:textId="77777777" w:rsidR="00066642" w:rsidRDefault="00131870">
      <w:pPr>
        <w:rPr>
          <w:rFonts w:hint="eastAsia"/>
        </w:rPr>
      </w:pPr>
      <w:r>
        <w:t>Professional disagreement is legitimate and may be necessary in the interests of patient care. Members must nevertheless maintain respectful professional relationships and must not engage in bullying, harassment, intimidation, threats, personal attacks, malicious criticism, vexatious complaints or deliberate professional undermining.</w:t>
      </w:r>
    </w:p>
    <w:p w14:paraId="7ED04E1B" w14:textId="77777777" w:rsidR="00066642" w:rsidRDefault="00131870">
      <w:pPr>
        <w:rPr>
          <w:rFonts w:hint="eastAsia"/>
        </w:rPr>
      </w:pPr>
      <w:r>
        <w:t>Clinical criticism should be factual, proportionate and directed toward patient welfare and professional improvement.</w:t>
      </w:r>
    </w:p>
    <w:p w14:paraId="185154E7" w14:textId="77777777" w:rsidR="00066642" w:rsidRDefault="00131870">
      <w:pPr>
        <w:pStyle w:val="Heading2"/>
      </w:pPr>
      <w:r>
        <w:t>25. Referral and collaborative care</w:t>
      </w:r>
    </w:p>
    <w:p w14:paraId="0332D566" w14:textId="77777777" w:rsidR="00066642" w:rsidRDefault="00131870">
      <w:pPr>
        <w:rPr>
          <w:rFonts w:hint="eastAsia"/>
        </w:rPr>
      </w:pPr>
      <w:r>
        <w:t>Members must recognise when patient care would benefit from another health practitioner. Referrals should contain sufficient information to support safe and effective care. Members must not discourage appropriate second opinions.</w:t>
      </w:r>
    </w:p>
    <w:p w14:paraId="5031555D" w14:textId="77777777" w:rsidR="00066642" w:rsidRDefault="00131870">
      <w:pPr>
        <w:rPr>
          <w:rFonts w:hint="eastAsia"/>
        </w:rPr>
      </w:pPr>
      <w:r>
        <w:t>A member should not criticise another practitioner’s management to a patient without adequate knowledge of the clinical circumstances. Concerns should be addressed objectively and through appropriate professional, clinical-governance or regulatory processes.</w:t>
      </w:r>
    </w:p>
    <w:p w14:paraId="0FA4AA2E" w14:textId="77777777" w:rsidR="00066642" w:rsidRDefault="00131870">
      <w:pPr>
        <w:pStyle w:val="Heading2"/>
      </w:pPr>
      <w:r>
        <w:t>26. Handover and continuity of care</w:t>
      </w:r>
    </w:p>
    <w:p w14:paraId="3B216594" w14:textId="77777777" w:rsidR="00066642" w:rsidRDefault="00131870">
      <w:pPr>
        <w:rPr>
          <w:rFonts w:hint="eastAsia"/>
        </w:rPr>
      </w:pPr>
      <w:r>
        <w:t>Members must provide adequate clinical handover where responsibility for patient care is transferred and must not abandon a patient requiring ongoing care without reasonable notice and arrangements for continuity, except where immediate termination is necessary for safety.</w:t>
      </w:r>
    </w:p>
    <w:p w14:paraId="0B42A175" w14:textId="77777777" w:rsidR="00066642" w:rsidRDefault="00131870">
      <w:pPr>
        <w:rPr>
          <w:rFonts w:hint="eastAsia"/>
        </w:rPr>
      </w:pPr>
      <w:r>
        <w:br w:type="page"/>
      </w:r>
    </w:p>
    <w:p w14:paraId="1638ABF2" w14:textId="77777777" w:rsidR="00066642" w:rsidRDefault="00131870">
      <w:pPr>
        <w:pStyle w:val="Heading1"/>
        <w:pBdr>
          <w:bottom w:val="single" w:sz="10" w:space="4" w:color="B18F41"/>
        </w:pBdr>
      </w:pPr>
      <w:r>
        <w:t>PART H — PROFESSIONAL INTEGRITY</w:t>
      </w:r>
    </w:p>
    <w:p w14:paraId="17291D5C" w14:textId="77777777" w:rsidR="00066642" w:rsidRDefault="00131870">
      <w:pPr>
        <w:pStyle w:val="Heading2"/>
      </w:pPr>
      <w:r>
        <w:t>27. Honesty</w:t>
      </w:r>
    </w:p>
    <w:p w14:paraId="1F581FFA" w14:textId="77777777" w:rsidR="00066642" w:rsidRDefault="00131870">
      <w:pPr>
        <w:rPr>
          <w:rFonts w:hint="eastAsia"/>
        </w:rPr>
      </w:pPr>
      <w:r>
        <w:t>Members must act honestly in all professional dealings.</w:t>
      </w:r>
    </w:p>
    <w:p w14:paraId="12CF6D39" w14:textId="77777777" w:rsidR="00066642" w:rsidRDefault="00131870">
      <w:pPr>
        <w:pStyle w:val="ListBullet"/>
        <w:rPr>
          <w:rFonts w:hint="eastAsia"/>
        </w:rPr>
      </w:pPr>
      <w:r>
        <w:t>do not falsify clinical records</w:t>
      </w:r>
    </w:p>
    <w:p w14:paraId="3A9DEE69" w14:textId="77777777" w:rsidR="00066642" w:rsidRDefault="00131870">
      <w:pPr>
        <w:pStyle w:val="ListBullet"/>
        <w:rPr>
          <w:rFonts w:hint="eastAsia"/>
        </w:rPr>
      </w:pPr>
      <w:r>
        <w:t>do not fabricate qualifications or experience</w:t>
      </w:r>
    </w:p>
    <w:p w14:paraId="57D00FA7" w14:textId="77777777" w:rsidR="00066642" w:rsidRDefault="00131870">
      <w:pPr>
        <w:pStyle w:val="ListBullet"/>
        <w:rPr>
          <w:rFonts w:hint="eastAsia"/>
        </w:rPr>
      </w:pPr>
      <w:r>
        <w:t>do not falsify CPD</w:t>
      </w:r>
    </w:p>
    <w:p w14:paraId="63F56DE1" w14:textId="77777777" w:rsidR="00066642" w:rsidRDefault="00131870">
      <w:pPr>
        <w:pStyle w:val="ListBullet"/>
        <w:rPr>
          <w:rFonts w:hint="eastAsia"/>
        </w:rPr>
      </w:pPr>
      <w:r>
        <w:t>do not manipulate research data</w:t>
      </w:r>
    </w:p>
    <w:p w14:paraId="59854660" w14:textId="77777777" w:rsidR="00066642" w:rsidRDefault="00131870">
      <w:pPr>
        <w:pStyle w:val="ListBullet"/>
        <w:rPr>
          <w:rFonts w:hint="eastAsia"/>
        </w:rPr>
      </w:pPr>
      <w:r>
        <w:t>do not issue false certificates</w:t>
      </w:r>
    </w:p>
    <w:p w14:paraId="68E9B175" w14:textId="77777777" w:rsidR="00066642" w:rsidRDefault="00131870">
      <w:pPr>
        <w:pStyle w:val="ListBullet"/>
        <w:rPr>
          <w:rFonts w:hint="eastAsia"/>
        </w:rPr>
      </w:pPr>
      <w:r>
        <w:t>do not submit fraudulent billing claims</w:t>
      </w:r>
    </w:p>
    <w:p w14:paraId="6849B483" w14:textId="77777777" w:rsidR="00066642" w:rsidRDefault="00131870">
      <w:pPr>
        <w:pStyle w:val="ListBullet"/>
        <w:rPr>
          <w:rFonts w:hint="eastAsia"/>
        </w:rPr>
      </w:pPr>
      <w:r>
        <w:t>do not knowingly mislead patients, colleagues, regulators, insurers, courts, employers or the Society</w:t>
      </w:r>
    </w:p>
    <w:p w14:paraId="6E9EEBB7" w14:textId="77777777" w:rsidR="00066642" w:rsidRDefault="00131870">
      <w:pPr>
        <w:pStyle w:val="Heading2"/>
      </w:pPr>
      <w:r>
        <w:t>28. Conflicts of interest</w:t>
      </w:r>
    </w:p>
    <w:p w14:paraId="61C5BB6C" w14:textId="77777777" w:rsidR="00066642" w:rsidRDefault="00131870">
      <w:pPr>
        <w:rPr>
          <w:rFonts w:hint="eastAsia"/>
        </w:rPr>
      </w:pPr>
      <w:r>
        <w:t xml:space="preserve">Members must identify, appropriately manage and disclose actual, potential or perceived conflicts of interest. Clinical </w:t>
      </w:r>
      <w:r>
        <w:t>recommendations must remain based on the patient’s interests.</w:t>
      </w:r>
    </w:p>
    <w:p w14:paraId="79B40675" w14:textId="77777777" w:rsidR="00066642" w:rsidRDefault="00131870">
      <w:pPr>
        <w:pStyle w:val="ListBullet"/>
        <w:rPr>
          <w:rFonts w:hint="eastAsia"/>
        </w:rPr>
      </w:pPr>
      <w:r>
        <w:t>ownership interests</w:t>
      </w:r>
    </w:p>
    <w:p w14:paraId="0A68A9BF" w14:textId="77777777" w:rsidR="00066642" w:rsidRDefault="00131870">
      <w:pPr>
        <w:pStyle w:val="ListBullet"/>
        <w:rPr>
          <w:rFonts w:hint="eastAsia"/>
        </w:rPr>
      </w:pPr>
      <w:r>
        <w:t>referral relationships</w:t>
      </w:r>
    </w:p>
    <w:p w14:paraId="6C44C5F2" w14:textId="77777777" w:rsidR="00066642" w:rsidRDefault="00131870">
      <w:pPr>
        <w:pStyle w:val="ListBullet"/>
        <w:rPr>
          <w:rFonts w:hint="eastAsia"/>
        </w:rPr>
      </w:pPr>
      <w:r>
        <w:t>financial incentives</w:t>
      </w:r>
    </w:p>
    <w:p w14:paraId="256AD2A5" w14:textId="77777777" w:rsidR="00066642" w:rsidRDefault="00131870">
      <w:pPr>
        <w:pStyle w:val="ListBullet"/>
        <w:rPr>
          <w:rFonts w:hint="eastAsia"/>
        </w:rPr>
      </w:pPr>
      <w:r>
        <w:t>commercial arrangements</w:t>
      </w:r>
    </w:p>
    <w:p w14:paraId="0E1FD5FE" w14:textId="77777777" w:rsidR="00066642" w:rsidRDefault="00131870">
      <w:pPr>
        <w:pStyle w:val="ListBullet"/>
        <w:rPr>
          <w:rFonts w:hint="eastAsia"/>
        </w:rPr>
      </w:pPr>
      <w:r>
        <w:t>device or pharmaceutical relationships</w:t>
      </w:r>
    </w:p>
    <w:p w14:paraId="766120C6" w14:textId="77777777" w:rsidR="00066642" w:rsidRDefault="00131870">
      <w:pPr>
        <w:pStyle w:val="ListBullet"/>
        <w:rPr>
          <w:rFonts w:hint="eastAsia"/>
        </w:rPr>
      </w:pPr>
      <w:r>
        <w:t>research funding</w:t>
      </w:r>
    </w:p>
    <w:p w14:paraId="07335248" w14:textId="77777777" w:rsidR="00066642" w:rsidRDefault="00131870">
      <w:pPr>
        <w:pStyle w:val="ListBullet"/>
        <w:rPr>
          <w:rFonts w:hint="eastAsia"/>
        </w:rPr>
      </w:pPr>
      <w:r>
        <w:t>family or personal relationships</w:t>
      </w:r>
    </w:p>
    <w:p w14:paraId="56E83B7E" w14:textId="77777777" w:rsidR="00066642" w:rsidRDefault="00131870">
      <w:pPr>
        <w:pStyle w:val="Heading2"/>
      </w:pPr>
      <w:r>
        <w:t>29. Fees and financial dealings</w:t>
      </w:r>
    </w:p>
    <w:p w14:paraId="263F387A" w14:textId="77777777" w:rsidR="00066642" w:rsidRDefault="00131870">
      <w:pPr>
        <w:rPr>
          <w:rFonts w:hint="eastAsia"/>
        </w:rPr>
      </w:pPr>
      <w:r>
        <w:t>Members must deal honestly and transparently with patients concerning fees and should, where reasonably practicable, provide information about foreseeable professional, facility, anaesthetic, implant and related costs. Members must not exploit patient vulnerability for financial gain.</w:t>
      </w:r>
    </w:p>
    <w:p w14:paraId="626662C8" w14:textId="77777777" w:rsidR="00066642" w:rsidRDefault="00131870">
      <w:pPr>
        <w:rPr>
          <w:rFonts w:hint="eastAsia"/>
        </w:rPr>
      </w:pPr>
      <w:r>
        <w:br w:type="page"/>
      </w:r>
    </w:p>
    <w:p w14:paraId="0CE870EB" w14:textId="77777777" w:rsidR="00066642" w:rsidRDefault="00131870">
      <w:pPr>
        <w:pStyle w:val="Heading1"/>
        <w:pBdr>
          <w:bottom w:val="single" w:sz="10" w:space="4" w:color="B18F41"/>
        </w:pBdr>
      </w:pPr>
      <w:r>
        <w:t>PART I — ADVERTISING AND PUBLIC REPRESENTATION</w:t>
      </w:r>
    </w:p>
    <w:p w14:paraId="4C40AE2E" w14:textId="77777777" w:rsidR="00066642" w:rsidRDefault="00131870">
      <w:pPr>
        <w:pStyle w:val="Heading2"/>
      </w:pPr>
      <w:r>
        <w:t>30. Advertising</w:t>
      </w:r>
    </w:p>
    <w:p w14:paraId="6866E723" w14:textId="77777777" w:rsidR="00066642" w:rsidRDefault="00131870">
      <w:pPr>
        <w:rPr>
          <w:rFonts w:hint="eastAsia"/>
        </w:rPr>
      </w:pPr>
      <w:r>
        <w:t>Advertising of regulated health services must comply with the National Law and current Ahpra requirements. Responsibility remains with the practitioner even where advertising is prepared by another person or organisation on their behalf.</w:t>
      </w:r>
    </w:p>
    <w:p w14:paraId="4EBE0E0B" w14:textId="77777777" w:rsidR="00066642" w:rsidRDefault="00131870">
      <w:pPr>
        <w:pStyle w:val="ListBullet"/>
        <w:rPr>
          <w:rFonts w:hint="eastAsia"/>
        </w:rPr>
      </w:pPr>
      <w:r>
        <w:t>must not be false or misleading</w:t>
      </w:r>
    </w:p>
    <w:p w14:paraId="6C2D9E26" w14:textId="77777777" w:rsidR="00066642" w:rsidRDefault="00131870">
      <w:pPr>
        <w:pStyle w:val="ListBullet"/>
        <w:rPr>
          <w:rFonts w:hint="eastAsia"/>
        </w:rPr>
      </w:pPr>
      <w:r>
        <w:t>must not create unreasonable expectations of beneficial treatment</w:t>
      </w:r>
    </w:p>
    <w:p w14:paraId="2D19160F" w14:textId="77777777" w:rsidR="00066642" w:rsidRDefault="00131870">
      <w:pPr>
        <w:pStyle w:val="ListBullet"/>
        <w:rPr>
          <w:rFonts w:hint="eastAsia"/>
        </w:rPr>
      </w:pPr>
      <w:r>
        <w:t>must not misrepresent qualifications or specialist status</w:t>
      </w:r>
    </w:p>
    <w:p w14:paraId="367019D6" w14:textId="77777777" w:rsidR="00066642" w:rsidRDefault="00131870">
      <w:pPr>
        <w:pStyle w:val="ListBullet"/>
        <w:rPr>
          <w:rFonts w:hint="eastAsia"/>
        </w:rPr>
      </w:pPr>
      <w:r>
        <w:t>must not imply guaranteed outcomes</w:t>
      </w:r>
    </w:p>
    <w:p w14:paraId="059BFF29" w14:textId="77777777" w:rsidR="00066642" w:rsidRDefault="00131870">
      <w:pPr>
        <w:pStyle w:val="ListBullet"/>
        <w:rPr>
          <w:rFonts w:hint="eastAsia"/>
        </w:rPr>
      </w:pPr>
      <w:r>
        <w:t>must not improperly compare practitioners</w:t>
      </w:r>
    </w:p>
    <w:p w14:paraId="4C988842" w14:textId="77777777" w:rsidR="00066642" w:rsidRDefault="00131870">
      <w:pPr>
        <w:pStyle w:val="ListBullet"/>
        <w:rPr>
          <w:rFonts w:hint="eastAsia"/>
        </w:rPr>
      </w:pPr>
      <w:r>
        <w:t>must not exploit fear or vulnerability</w:t>
      </w:r>
    </w:p>
    <w:p w14:paraId="12B026F1" w14:textId="77777777" w:rsidR="00066642" w:rsidRDefault="00131870">
      <w:pPr>
        <w:pStyle w:val="ListBullet"/>
        <w:rPr>
          <w:rFonts w:hint="eastAsia"/>
        </w:rPr>
      </w:pPr>
      <w:r>
        <w:t>must not misrepresent scientific evidence</w:t>
      </w:r>
    </w:p>
    <w:p w14:paraId="0AD2B2A9" w14:textId="77777777" w:rsidR="00066642" w:rsidRDefault="00131870">
      <w:pPr>
        <w:pStyle w:val="Heading2"/>
      </w:pPr>
      <w:r>
        <w:t>31. Use of Society membership, titles and post-nominals</w:t>
      </w:r>
    </w:p>
    <w:p w14:paraId="501CBF55" w14:textId="77777777" w:rsidR="00066642" w:rsidRDefault="00131870">
      <w:pPr>
        <w:rPr>
          <w:rFonts w:hint="eastAsia"/>
        </w:rPr>
      </w:pPr>
      <w:r>
        <w:t xml:space="preserve">Members may use Society titles, logos, </w:t>
      </w:r>
      <w:r>
        <w:t>membership designations and post-nominals only in accordance with Society policy. Society membership must not be represented as statutory specialist registration, Ahpra endorsement, government accreditation or evidence of expertise beyond that actually possessed.</w:t>
      </w:r>
    </w:p>
    <w:p w14:paraId="79E4F3B8" w14:textId="77777777" w:rsidR="00066642" w:rsidRDefault="00131870">
      <w:pPr>
        <w:pStyle w:val="Heading2"/>
      </w:pPr>
      <w:r>
        <w:t>32. Social media and digital communication</w:t>
      </w:r>
    </w:p>
    <w:p w14:paraId="5F66E3DC" w14:textId="77777777" w:rsidR="00066642" w:rsidRDefault="00131870">
      <w:pPr>
        <w:rPr>
          <w:rFonts w:hint="eastAsia"/>
        </w:rPr>
      </w:pPr>
      <w:r>
        <w:t>Professional obligations apply to social media and electronic communication. Members must not disclose identifiable patient information without lawful authority, engage in bullying or harassment, make false professional claims, misrepresent qualifications or Society positions, or imply that personal opinions represent the Society unless authorised.</w:t>
      </w:r>
    </w:p>
    <w:p w14:paraId="09405F3E" w14:textId="77777777" w:rsidR="00066642" w:rsidRDefault="00131870">
      <w:pPr>
        <w:rPr>
          <w:rFonts w:hint="eastAsia"/>
        </w:rPr>
      </w:pPr>
      <w:r>
        <w:br w:type="page"/>
      </w:r>
    </w:p>
    <w:p w14:paraId="05928BB8" w14:textId="77777777" w:rsidR="00066642" w:rsidRDefault="00131870">
      <w:pPr>
        <w:pStyle w:val="Heading1"/>
        <w:pBdr>
          <w:bottom w:val="single" w:sz="10" w:space="4" w:color="B18F41"/>
        </w:pBdr>
      </w:pPr>
      <w:r>
        <w:t>PART J — TEACHING, SUPERVISION AND RESEARCH</w:t>
      </w:r>
    </w:p>
    <w:p w14:paraId="6206BC2D" w14:textId="77777777" w:rsidR="00066642" w:rsidRDefault="00131870">
      <w:pPr>
        <w:pStyle w:val="Heading2"/>
      </w:pPr>
      <w:r>
        <w:t>33. Teaching and supervision</w:t>
      </w:r>
    </w:p>
    <w:p w14:paraId="376DFC3D" w14:textId="77777777" w:rsidR="00066642" w:rsidRDefault="00131870">
      <w:pPr>
        <w:pStyle w:val="ListBullet"/>
        <w:rPr>
          <w:rFonts w:hint="eastAsia"/>
        </w:rPr>
      </w:pPr>
      <w:r>
        <w:t xml:space="preserve">provide supervision </w:t>
      </w:r>
      <w:r>
        <w:t>appropriate to the learner and clinical setting</w:t>
      </w:r>
    </w:p>
    <w:p w14:paraId="11728D99" w14:textId="77777777" w:rsidR="00066642" w:rsidRDefault="00131870">
      <w:pPr>
        <w:pStyle w:val="ListBullet"/>
        <w:rPr>
          <w:rFonts w:hint="eastAsia"/>
        </w:rPr>
      </w:pPr>
      <w:r>
        <w:t>establish clear expectations</w:t>
      </w:r>
    </w:p>
    <w:p w14:paraId="72AEED76" w14:textId="77777777" w:rsidR="00066642" w:rsidRDefault="00131870">
      <w:pPr>
        <w:pStyle w:val="ListBullet"/>
        <w:rPr>
          <w:rFonts w:hint="eastAsia"/>
        </w:rPr>
      </w:pPr>
      <w:r>
        <w:t>protect patient safety</w:t>
      </w:r>
    </w:p>
    <w:p w14:paraId="3BD8C1A0" w14:textId="77777777" w:rsidR="00066642" w:rsidRDefault="00131870">
      <w:pPr>
        <w:pStyle w:val="ListBullet"/>
        <w:rPr>
          <w:rFonts w:hint="eastAsia"/>
        </w:rPr>
      </w:pPr>
      <w:r>
        <w:t>provide constructive and fair feedback</w:t>
      </w:r>
    </w:p>
    <w:p w14:paraId="0588F769" w14:textId="77777777" w:rsidR="00066642" w:rsidRDefault="00131870">
      <w:pPr>
        <w:pStyle w:val="ListBullet"/>
        <w:rPr>
          <w:rFonts w:hint="eastAsia"/>
        </w:rPr>
      </w:pPr>
      <w:r>
        <w:t>assess learners honestly</w:t>
      </w:r>
    </w:p>
    <w:p w14:paraId="72883A47" w14:textId="77777777" w:rsidR="00066642" w:rsidRDefault="00131870">
      <w:pPr>
        <w:pStyle w:val="ListBullet"/>
        <w:rPr>
          <w:rFonts w:hint="eastAsia"/>
        </w:rPr>
      </w:pPr>
      <w:r>
        <w:t>avoid exploitation</w:t>
      </w:r>
    </w:p>
    <w:p w14:paraId="6F30AC67" w14:textId="77777777" w:rsidR="00066642" w:rsidRDefault="00131870">
      <w:pPr>
        <w:pStyle w:val="ListBullet"/>
        <w:rPr>
          <w:rFonts w:hint="eastAsia"/>
        </w:rPr>
      </w:pPr>
      <w:r>
        <w:t>maintain professional boundaries</w:t>
      </w:r>
    </w:p>
    <w:p w14:paraId="3952D9F0" w14:textId="77777777" w:rsidR="00066642" w:rsidRDefault="00131870">
      <w:pPr>
        <w:pStyle w:val="ListBullet"/>
        <w:rPr>
          <w:rFonts w:hint="eastAsia"/>
        </w:rPr>
      </w:pPr>
      <w:r>
        <w:t>intervene where learner actions may place patients at risk</w:t>
      </w:r>
    </w:p>
    <w:p w14:paraId="3A7FA308" w14:textId="77777777" w:rsidR="00066642" w:rsidRDefault="00131870">
      <w:pPr>
        <w:rPr>
          <w:rFonts w:hint="eastAsia"/>
        </w:rPr>
      </w:pPr>
      <w:r>
        <w:t>Patients must be informed appropriately when students or trainees participate in their care.</w:t>
      </w:r>
    </w:p>
    <w:p w14:paraId="4D9E3163" w14:textId="77777777" w:rsidR="00066642" w:rsidRDefault="00131870">
      <w:pPr>
        <w:pStyle w:val="Heading2"/>
      </w:pPr>
      <w:r>
        <w:t>34. Research</w:t>
      </w:r>
    </w:p>
    <w:p w14:paraId="48D987BE" w14:textId="77777777" w:rsidR="00066642" w:rsidRDefault="00131870">
      <w:pPr>
        <w:rPr>
          <w:rFonts w:hint="eastAsia"/>
        </w:rPr>
      </w:pPr>
      <w:r>
        <w:t>Members conducting or participating in research must comply with relevant human research ethics requirements, institutional approvals, privacy obligations, consent requirements, research-integrity standards and publication standards. Members must not fabricate, falsify or selectively manipulate research data. Conflicts of interest and funding relationships must be appropriately disclosed.</w:t>
      </w:r>
    </w:p>
    <w:p w14:paraId="5C3969A0" w14:textId="77777777" w:rsidR="00066642" w:rsidRDefault="00131870">
      <w:pPr>
        <w:rPr>
          <w:rFonts w:hint="eastAsia"/>
        </w:rPr>
      </w:pPr>
      <w:r>
        <w:br w:type="page"/>
      </w:r>
    </w:p>
    <w:p w14:paraId="219604A8" w14:textId="77777777" w:rsidR="00066642" w:rsidRDefault="00131870">
      <w:pPr>
        <w:pStyle w:val="Heading1"/>
        <w:pBdr>
          <w:bottom w:val="single" w:sz="10" w:space="4" w:color="B18F41"/>
        </w:pBdr>
      </w:pPr>
      <w:r>
        <w:t>PART K — PROFESSIONAL DEVELOPMENT</w:t>
      </w:r>
    </w:p>
    <w:p w14:paraId="133D593B" w14:textId="77777777" w:rsidR="00066642" w:rsidRDefault="00131870">
      <w:pPr>
        <w:pStyle w:val="Heading2"/>
      </w:pPr>
      <w:r>
        <w:t>35. Continuing professional development</w:t>
      </w:r>
    </w:p>
    <w:p w14:paraId="3394E8C1" w14:textId="77777777" w:rsidR="00066642" w:rsidRDefault="00131870">
      <w:pPr>
        <w:rPr>
          <w:rFonts w:hint="eastAsia"/>
        </w:rPr>
      </w:pPr>
      <w:r>
        <w:t>Members must maintain knowledge and skills relevant to their scope of practice and meet or exceed applicable Podiatry Board CPD requirements. The Society may impose additional CPD requirements for membership.</w:t>
      </w:r>
    </w:p>
    <w:p w14:paraId="72B1F00E" w14:textId="77777777" w:rsidR="00066642" w:rsidRDefault="00131870">
      <w:pPr>
        <w:pStyle w:val="ListBullet"/>
        <w:rPr>
          <w:rFonts w:hint="eastAsia"/>
        </w:rPr>
      </w:pPr>
      <w:r>
        <w:t>clinical knowledge and surgical competence</w:t>
      </w:r>
    </w:p>
    <w:p w14:paraId="2F532EEA" w14:textId="77777777" w:rsidR="00066642" w:rsidRDefault="00131870">
      <w:pPr>
        <w:pStyle w:val="ListBullet"/>
        <w:rPr>
          <w:rFonts w:hint="eastAsia"/>
        </w:rPr>
      </w:pPr>
      <w:r>
        <w:t>patient safety and evidence-informed practice</w:t>
      </w:r>
    </w:p>
    <w:p w14:paraId="253B9B27" w14:textId="77777777" w:rsidR="00066642" w:rsidRDefault="00131870">
      <w:pPr>
        <w:pStyle w:val="ListBullet"/>
        <w:rPr>
          <w:rFonts w:hint="eastAsia"/>
        </w:rPr>
      </w:pPr>
      <w:r>
        <w:t>pharmacology where relevant</w:t>
      </w:r>
    </w:p>
    <w:p w14:paraId="7ABC0054" w14:textId="77777777" w:rsidR="00066642" w:rsidRDefault="00131870">
      <w:pPr>
        <w:pStyle w:val="ListBullet"/>
        <w:rPr>
          <w:rFonts w:hint="eastAsia"/>
        </w:rPr>
      </w:pPr>
      <w:r>
        <w:t>emergency management</w:t>
      </w:r>
    </w:p>
    <w:p w14:paraId="19659C91" w14:textId="77777777" w:rsidR="00066642" w:rsidRDefault="00131870">
      <w:pPr>
        <w:pStyle w:val="ListBullet"/>
        <w:rPr>
          <w:rFonts w:hint="eastAsia"/>
        </w:rPr>
      </w:pPr>
      <w:r>
        <w:t>cultural safety</w:t>
      </w:r>
    </w:p>
    <w:p w14:paraId="6A341880" w14:textId="77777777" w:rsidR="00066642" w:rsidRDefault="00131870">
      <w:pPr>
        <w:pStyle w:val="ListBullet"/>
        <w:rPr>
          <w:rFonts w:hint="eastAsia"/>
        </w:rPr>
      </w:pPr>
      <w:r>
        <w:t>communication and ethics</w:t>
      </w:r>
    </w:p>
    <w:p w14:paraId="6B9CDEAF" w14:textId="77777777" w:rsidR="00066642" w:rsidRDefault="00131870">
      <w:pPr>
        <w:pStyle w:val="ListBullet"/>
        <w:rPr>
          <w:rFonts w:hint="eastAsia"/>
        </w:rPr>
      </w:pPr>
      <w:r>
        <w:t>quality improvement</w:t>
      </w:r>
    </w:p>
    <w:p w14:paraId="7C17C6E6" w14:textId="77777777" w:rsidR="00066642" w:rsidRDefault="00131870">
      <w:pPr>
        <w:pStyle w:val="Heading2"/>
      </w:pPr>
      <w:r>
        <w:t>36. Reflective practice and peer review</w:t>
      </w:r>
    </w:p>
    <w:p w14:paraId="373651FA" w14:textId="77777777" w:rsidR="00066642" w:rsidRDefault="00131870">
      <w:pPr>
        <w:rPr>
          <w:rFonts w:hint="eastAsia"/>
        </w:rPr>
      </w:pPr>
      <w:r>
        <w:t>Members should regularly reflect on practice and, where appropriate, participate in peer review, clinical audit, morbidity and complication review, journal clubs, case review, multidisciplinary meetings and professional mentoring. Constructive peer review should be regarded as an element of professional improvement rather than an adverse process.</w:t>
      </w:r>
    </w:p>
    <w:p w14:paraId="39F3B75E" w14:textId="77777777" w:rsidR="00066642" w:rsidRDefault="00131870">
      <w:pPr>
        <w:rPr>
          <w:rFonts w:hint="eastAsia"/>
        </w:rPr>
      </w:pPr>
      <w:r>
        <w:br w:type="page"/>
      </w:r>
    </w:p>
    <w:p w14:paraId="55CE58EE" w14:textId="77777777" w:rsidR="00066642" w:rsidRDefault="00131870">
      <w:pPr>
        <w:pStyle w:val="Heading1"/>
        <w:pBdr>
          <w:bottom w:val="single" w:sz="10" w:space="4" w:color="B18F41"/>
        </w:pBdr>
      </w:pPr>
      <w:r>
        <w:t>PART L — PRACTITIONER HEALTH AND FITNESS TO PRACTISE</w:t>
      </w:r>
    </w:p>
    <w:p w14:paraId="68367CBF" w14:textId="77777777" w:rsidR="00066642" w:rsidRDefault="00131870">
      <w:pPr>
        <w:pStyle w:val="Heading2"/>
      </w:pPr>
      <w:r>
        <w:t>37. Practitioner health</w:t>
      </w:r>
    </w:p>
    <w:p w14:paraId="0D5CA6DF" w14:textId="77777777" w:rsidR="00066642" w:rsidRDefault="00131870">
      <w:pPr>
        <w:rPr>
          <w:rFonts w:hint="eastAsia"/>
        </w:rPr>
      </w:pPr>
      <w:r>
        <w:t xml:space="preserve">Members must recognise that physical or psychological health may </w:t>
      </w:r>
      <w:r>
        <w:t>affect their capacity to practise safely and should seek appropriate professional assistance where health issues may impair safe practice. Members must not practise while significantly impaired by illness, fatigue, alcohol, illicit substances, medication or another condition creating an unacceptable risk to patients. Mandatory-notification obligations must be observed where applicable.</w:t>
      </w:r>
    </w:p>
    <w:p w14:paraId="367A79AD" w14:textId="77777777" w:rsidR="00066642" w:rsidRDefault="00131870">
      <w:pPr>
        <w:rPr>
          <w:rFonts w:hint="eastAsia"/>
        </w:rPr>
      </w:pPr>
      <w:r>
        <w:br w:type="page"/>
      </w:r>
    </w:p>
    <w:p w14:paraId="139AB253" w14:textId="77777777" w:rsidR="00066642" w:rsidRDefault="00131870">
      <w:pPr>
        <w:pStyle w:val="Heading1"/>
        <w:pBdr>
          <w:bottom w:val="single" w:sz="10" w:space="4" w:color="B18F41"/>
        </w:pBdr>
      </w:pPr>
      <w:r>
        <w:t>PART M — PATIENT SAFETY, INCIDENTS AND COMPLAINTS</w:t>
      </w:r>
    </w:p>
    <w:p w14:paraId="30B7D0C7" w14:textId="77777777" w:rsidR="00066642" w:rsidRDefault="00131870">
      <w:pPr>
        <w:pStyle w:val="Heading2"/>
      </w:pPr>
      <w:r>
        <w:t>38. Adverse events and open disclosure</w:t>
      </w:r>
    </w:p>
    <w:p w14:paraId="16D125BB" w14:textId="77777777" w:rsidR="00066642" w:rsidRDefault="00131870">
      <w:pPr>
        <w:rPr>
          <w:rFonts w:hint="eastAsia"/>
        </w:rPr>
      </w:pPr>
      <w:r>
        <w:t>Where a patient suffers an adverse event, members must respond appropriately and must not deliberately conceal a significant adverse event.</w:t>
      </w:r>
    </w:p>
    <w:p w14:paraId="70A13CB0" w14:textId="77777777" w:rsidR="00066642" w:rsidRDefault="00131870">
      <w:pPr>
        <w:pStyle w:val="ListBullet"/>
        <w:rPr>
          <w:rFonts w:hint="eastAsia"/>
        </w:rPr>
      </w:pPr>
      <w:r>
        <w:t>attend to immediate clinical needs</w:t>
      </w:r>
    </w:p>
    <w:p w14:paraId="74A23042" w14:textId="77777777" w:rsidR="00066642" w:rsidRDefault="00131870">
      <w:pPr>
        <w:pStyle w:val="ListBullet"/>
        <w:rPr>
          <w:rFonts w:hint="eastAsia"/>
        </w:rPr>
      </w:pPr>
      <w:r>
        <w:t>communicate openly and respectfully</w:t>
      </w:r>
    </w:p>
    <w:p w14:paraId="0D224BCA" w14:textId="77777777" w:rsidR="00066642" w:rsidRDefault="00131870">
      <w:pPr>
        <w:pStyle w:val="ListBullet"/>
        <w:rPr>
          <w:rFonts w:hint="eastAsia"/>
        </w:rPr>
      </w:pPr>
      <w:r>
        <w:t>explain known facts without speculation</w:t>
      </w:r>
    </w:p>
    <w:p w14:paraId="77C248F0" w14:textId="77777777" w:rsidR="00066642" w:rsidRDefault="00131870">
      <w:pPr>
        <w:pStyle w:val="ListBullet"/>
        <w:rPr>
          <w:rFonts w:hint="eastAsia"/>
        </w:rPr>
      </w:pPr>
      <w:r>
        <w:t>express appropriate regret</w:t>
      </w:r>
    </w:p>
    <w:p w14:paraId="7375271B" w14:textId="77777777" w:rsidR="00066642" w:rsidRDefault="00131870">
      <w:pPr>
        <w:pStyle w:val="ListBullet"/>
        <w:rPr>
          <w:rFonts w:hint="eastAsia"/>
        </w:rPr>
      </w:pPr>
      <w:r>
        <w:t>document the event</w:t>
      </w:r>
    </w:p>
    <w:p w14:paraId="706A23D4" w14:textId="77777777" w:rsidR="00066642" w:rsidRDefault="00131870">
      <w:pPr>
        <w:pStyle w:val="ListBullet"/>
        <w:rPr>
          <w:rFonts w:hint="eastAsia"/>
        </w:rPr>
      </w:pPr>
      <w:r>
        <w:t>arrange further treatment</w:t>
      </w:r>
    </w:p>
    <w:p w14:paraId="32ED60F2" w14:textId="77777777" w:rsidR="00066642" w:rsidRDefault="00131870">
      <w:pPr>
        <w:pStyle w:val="ListBullet"/>
        <w:rPr>
          <w:rFonts w:hint="eastAsia"/>
        </w:rPr>
      </w:pPr>
      <w:r>
        <w:t>report through appropriate clinical-governance systems</w:t>
      </w:r>
    </w:p>
    <w:p w14:paraId="57ACF12A" w14:textId="77777777" w:rsidR="00066642" w:rsidRDefault="00131870">
      <w:pPr>
        <w:pStyle w:val="ListBullet"/>
        <w:rPr>
          <w:rFonts w:hint="eastAsia"/>
        </w:rPr>
      </w:pPr>
      <w:r>
        <w:t>participate in review and quality improvement</w:t>
      </w:r>
    </w:p>
    <w:p w14:paraId="20ACBC84" w14:textId="77777777" w:rsidR="00066642" w:rsidRDefault="00131870">
      <w:pPr>
        <w:pStyle w:val="Heading2"/>
      </w:pPr>
      <w:r>
        <w:t>39. Complaints</w:t>
      </w:r>
    </w:p>
    <w:p w14:paraId="1DC8C8C8" w14:textId="77777777" w:rsidR="00066642" w:rsidRDefault="00131870">
      <w:pPr>
        <w:rPr>
          <w:rFonts w:hint="eastAsia"/>
        </w:rPr>
      </w:pPr>
      <w:r>
        <w:t xml:space="preserve">Patients have the right to raise concerns and complaints. Members must not disadvantage a patient </w:t>
      </w:r>
      <w:r>
        <w:t>merely because a complaint has been made. Members should cooperate appropriately with authorised complaint, regulatory, insurance, facility and Society processes.</w:t>
      </w:r>
    </w:p>
    <w:p w14:paraId="3ACB564E" w14:textId="77777777" w:rsidR="00066642" w:rsidRDefault="00131870">
      <w:pPr>
        <w:rPr>
          <w:rFonts w:hint="eastAsia"/>
        </w:rPr>
      </w:pPr>
      <w:r>
        <w:br w:type="page"/>
      </w:r>
    </w:p>
    <w:p w14:paraId="25BACA46" w14:textId="77777777" w:rsidR="00066642" w:rsidRDefault="00131870">
      <w:pPr>
        <w:pStyle w:val="Heading1"/>
        <w:pBdr>
          <w:bottom w:val="single" w:sz="10" w:space="4" w:color="B18F41"/>
        </w:pBdr>
      </w:pPr>
      <w:r>
        <w:t>PART N — PROFESSIONAL CONDUCT WITHIN THE SOCIETY</w:t>
      </w:r>
    </w:p>
    <w:p w14:paraId="09EEB467" w14:textId="77777777" w:rsidR="00066642" w:rsidRDefault="00131870">
      <w:pPr>
        <w:pStyle w:val="Heading2"/>
      </w:pPr>
      <w:r>
        <w:t>40. Conduct within the Society</w:t>
      </w:r>
    </w:p>
    <w:p w14:paraId="258B8625" w14:textId="77777777" w:rsidR="00066642" w:rsidRDefault="00131870">
      <w:pPr>
        <w:rPr>
          <w:rFonts w:hint="eastAsia"/>
        </w:rPr>
      </w:pPr>
      <w:r>
        <w:t>Members must conduct themselves professionally in Society affairs. Good-faith disagreement concerning Society policy, governance or professional matters is not, by itself, misconduct. Members retain the right to express professional disagreement, criticism and dissent respectfully.</w:t>
      </w:r>
    </w:p>
    <w:p w14:paraId="74A61227" w14:textId="77777777" w:rsidR="00066642" w:rsidRDefault="00131870">
      <w:pPr>
        <w:pStyle w:val="ListBullet"/>
        <w:rPr>
          <w:rFonts w:hint="eastAsia"/>
        </w:rPr>
      </w:pPr>
      <w:r>
        <w:t>act honestly</w:t>
      </w:r>
    </w:p>
    <w:p w14:paraId="221364C5" w14:textId="77777777" w:rsidR="00066642" w:rsidRDefault="00131870">
      <w:pPr>
        <w:pStyle w:val="ListBullet"/>
        <w:rPr>
          <w:rFonts w:hint="eastAsia"/>
        </w:rPr>
      </w:pPr>
      <w:r>
        <w:t>respect confidentiality</w:t>
      </w:r>
    </w:p>
    <w:p w14:paraId="5D0DA41E" w14:textId="77777777" w:rsidR="00066642" w:rsidRDefault="00131870">
      <w:pPr>
        <w:pStyle w:val="ListBullet"/>
        <w:rPr>
          <w:rFonts w:hint="eastAsia"/>
        </w:rPr>
      </w:pPr>
      <w:r>
        <w:t>disclose conflicts of interest</w:t>
      </w:r>
    </w:p>
    <w:p w14:paraId="6F5E08D5" w14:textId="77777777" w:rsidR="00066642" w:rsidRDefault="00131870">
      <w:pPr>
        <w:pStyle w:val="ListBullet"/>
        <w:rPr>
          <w:rFonts w:hint="eastAsia"/>
        </w:rPr>
      </w:pPr>
      <w:r>
        <w:t>respect properly made governance decisions</w:t>
      </w:r>
    </w:p>
    <w:p w14:paraId="0585CFD7" w14:textId="77777777" w:rsidR="00066642" w:rsidRDefault="00131870">
      <w:pPr>
        <w:pStyle w:val="ListBullet"/>
        <w:rPr>
          <w:rFonts w:hint="eastAsia"/>
        </w:rPr>
      </w:pPr>
      <w:r>
        <w:t>avoid misuse of Society information or resources</w:t>
      </w:r>
    </w:p>
    <w:p w14:paraId="79831357" w14:textId="77777777" w:rsidR="00066642" w:rsidRDefault="00131870">
      <w:pPr>
        <w:pStyle w:val="ListBullet"/>
        <w:rPr>
          <w:rFonts w:hint="eastAsia"/>
        </w:rPr>
      </w:pPr>
      <w:r>
        <w:t>refrain from bullying and intimidation</w:t>
      </w:r>
    </w:p>
    <w:p w14:paraId="3489DF33" w14:textId="77777777" w:rsidR="00066642" w:rsidRDefault="00131870">
      <w:pPr>
        <w:pStyle w:val="ListBullet"/>
        <w:rPr>
          <w:rFonts w:hint="eastAsia"/>
        </w:rPr>
      </w:pPr>
      <w:r>
        <w:t>comply with the Society constitution and policies</w:t>
      </w:r>
    </w:p>
    <w:p w14:paraId="28448544" w14:textId="77777777" w:rsidR="00066642" w:rsidRDefault="00131870">
      <w:pPr>
        <w:pStyle w:val="ListBullet"/>
        <w:rPr>
          <w:rFonts w:hint="eastAsia"/>
        </w:rPr>
      </w:pPr>
      <w:r>
        <w:t>avoid conduct likely to bring the Society into serious disrepute</w:t>
      </w:r>
    </w:p>
    <w:p w14:paraId="67B93E18" w14:textId="77777777" w:rsidR="00066642" w:rsidRDefault="00131870">
      <w:pPr>
        <w:pStyle w:val="Heading2"/>
      </w:pPr>
      <w:r>
        <w:t>41. Confidential Society information</w:t>
      </w:r>
    </w:p>
    <w:p w14:paraId="489007FE" w14:textId="77777777" w:rsidR="00066642" w:rsidRDefault="00131870">
      <w:pPr>
        <w:rPr>
          <w:rFonts w:hint="eastAsia"/>
        </w:rPr>
      </w:pPr>
      <w:r>
        <w:t xml:space="preserve">Confidential information obtained through Board or committee membership, disciplinary proceedings, examinations, credentialing, peer review or </w:t>
      </w:r>
      <w:r>
        <w:t>other confidential Society activities must not be improperly disclosed or used for personal advantage.</w:t>
      </w:r>
    </w:p>
    <w:p w14:paraId="588F7CFB" w14:textId="77777777" w:rsidR="00066642" w:rsidRDefault="00131870">
      <w:pPr>
        <w:pStyle w:val="Heading2"/>
      </w:pPr>
      <w:r>
        <w:t>42. Conflicts within Society governance</w:t>
      </w:r>
    </w:p>
    <w:p w14:paraId="13BA7DA1" w14:textId="77777777" w:rsidR="00066642" w:rsidRDefault="00131870">
      <w:pPr>
        <w:rPr>
          <w:rFonts w:hint="eastAsia"/>
        </w:rPr>
      </w:pPr>
      <w:r>
        <w:t>Board and committee members must disclose actual, potential or perceived conflicts of interest. Where appropriate, the individual should abstain from discussion or decision-making and the conflict and its management should be recorded.</w:t>
      </w:r>
    </w:p>
    <w:p w14:paraId="74725829" w14:textId="77777777" w:rsidR="00066642" w:rsidRDefault="00131870">
      <w:pPr>
        <w:rPr>
          <w:rFonts w:hint="eastAsia"/>
        </w:rPr>
      </w:pPr>
      <w:r>
        <w:br w:type="page"/>
      </w:r>
    </w:p>
    <w:p w14:paraId="61AD1275" w14:textId="77777777" w:rsidR="00066642" w:rsidRDefault="00131870">
      <w:pPr>
        <w:pStyle w:val="Heading1"/>
        <w:pBdr>
          <w:bottom w:val="single" w:sz="10" w:space="4" w:color="B18F41"/>
        </w:pBdr>
      </w:pPr>
      <w:r>
        <w:t>PART O — REPORTING SERIOUS PROFESSIONAL CONCERNS</w:t>
      </w:r>
    </w:p>
    <w:p w14:paraId="47A9EC31" w14:textId="77777777" w:rsidR="00066642" w:rsidRDefault="00131870">
      <w:pPr>
        <w:pStyle w:val="Heading2"/>
      </w:pPr>
      <w:r>
        <w:t>43. Duty to act</w:t>
      </w:r>
    </w:p>
    <w:p w14:paraId="5CD6FDE6" w14:textId="77777777" w:rsidR="00066642" w:rsidRDefault="00131870">
      <w:pPr>
        <w:rPr>
          <w:rFonts w:hint="eastAsia"/>
        </w:rPr>
      </w:pPr>
      <w:r>
        <w:t>Members who reasonably believe another practitioner poses a serious risk to patients should take appropriate action. Concerns must be raised in good faith. The Society does not tolerate knowingly false, malicious or vexatious complaints.</w:t>
      </w:r>
    </w:p>
    <w:p w14:paraId="3ED74230" w14:textId="77777777" w:rsidR="00066642" w:rsidRDefault="00131870">
      <w:pPr>
        <w:pStyle w:val="ListBullet"/>
        <w:rPr>
          <w:rFonts w:hint="eastAsia"/>
        </w:rPr>
      </w:pPr>
      <w:r>
        <w:t>raise the concern directly where safe and appropriate</w:t>
      </w:r>
    </w:p>
    <w:p w14:paraId="6312F8E9" w14:textId="77777777" w:rsidR="00066642" w:rsidRDefault="00131870">
      <w:pPr>
        <w:pStyle w:val="ListBullet"/>
        <w:rPr>
          <w:rFonts w:hint="eastAsia"/>
        </w:rPr>
      </w:pPr>
      <w:r>
        <w:t>notify an appropriate clinical-governance body</w:t>
      </w:r>
    </w:p>
    <w:p w14:paraId="69E3FBCD" w14:textId="77777777" w:rsidR="00066642" w:rsidRDefault="00131870">
      <w:pPr>
        <w:pStyle w:val="ListBullet"/>
        <w:rPr>
          <w:rFonts w:hint="eastAsia"/>
        </w:rPr>
      </w:pPr>
      <w:r>
        <w:t>inform an employer or facility where relevant</w:t>
      </w:r>
    </w:p>
    <w:p w14:paraId="6A3FDCA9" w14:textId="77777777" w:rsidR="00066642" w:rsidRDefault="00131870">
      <w:pPr>
        <w:pStyle w:val="ListBullet"/>
        <w:rPr>
          <w:rFonts w:hint="eastAsia"/>
        </w:rPr>
      </w:pPr>
      <w:r>
        <w:t>obtain confidential professional or indemnity advice</w:t>
      </w:r>
    </w:p>
    <w:p w14:paraId="2F011C88" w14:textId="77777777" w:rsidR="00066642" w:rsidRDefault="00131870">
      <w:pPr>
        <w:pStyle w:val="ListBullet"/>
        <w:rPr>
          <w:rFonts w:hint="eastAsia"/>
        </w:rPr>
      </w:pPr>
      <w:r>
        <w:t>make a mandatory notification where legally required</w:t>
      </w:r>
    </w:p>
    <w:p w14:paraId="58B05EC7" w14:textId="77777777" w:rsidR="00066642" w:rsidRDefault="00131870">
      <w:pPr>
        <w:pStyle w:val="ListBullet"/>
        <w:rPr>
          <w:rFonts w:hint="eastAsia"/>
        </w:rPr>
      </w:pPr>
      <w:r>
        <w:t>refer a matter to an appropriate regulator where necessary</w:t>
      </w:r>
    </w:p>
    <w:p w14:paraId="0130DC2D" w14:textId="77777777" w:rsidR="00066642" w:rsidRDefault="00131870">
      <w:pPr>
        <w:rPr>
          <w:rFonts w:hint="eastAsia"/>
        </w:rPr>
      </w:pPr>
      <w:r>
        <w:br w:type="page"/>
      </w:r>
    </w:p>
    <w:p w14:paraId="4A7B62B2" w14:textId="77777777" w:rsidR="00066642" w:rsidRDefault="00131870">
      <w:pPr>
        <w:pStyle w:val="Heading1"/>
        <w:pBdr>
          <w:bottom w:val="single" w:sz="10" w:space="4" w:color="B18F41"/>
        </w:pBdr>
      </w:pPr>
      <w:r>
        <w:t>PART P — PROFESSIONAL STANDARDS FOR PODIATRIC SPECIALISTS</w:t>
      </w:r>
    </w:p>
    <w:p w14:paraId="7A8610EA" w14:textId="77777777" w:rsidR="00066642" w:rsidRDefault="00131870">
      <w:pPr>
        <w:pStyle w:val="Heading2"/>
      </w:pPr>
      <w:r>
        <w:t>44. Additional expectations of Podiatric Specialists</w:t>
      </w:r>
    </w:p>
    <w:p w14:paraId="0443ECE7" w14:textId="77777777" w:rsidR="00066642" w:rsidRDefault="00131870">
      <w:pPr>
        <w:pStyle w:val="Heading3"/>
      </w:pPr>
      <w:r>
        <w:t>Clinical assessment and diagnosis</w:t>
      </w:r>
    </w:p>
    <w:p w14:paraId="3CE41231" w14:textId="77777777" w:rsidR="00066642" w:rsidRDefault="00131870">
      <w:pPr>
        <w:rPr>
          <w:rFonts w:hint="eastAsia"/>
        </w:rPr>
      </w:pPr>
      <w:r>
        <w:t>Undertake comprehensive evaluation and formulate an appropriate non-surgical or surgical management plan.</w:t>
      </w:r>
    </w:p>
    <w:p w14:paraId="149AA517" w14:textId="77777777" w:rsidR="00066642" w:rsidRDefault="00131870">
      <w:pPr>
        <w:pStyle w:val="Heading3"/>
      </w:pPr>
      <w:r>
        <w:t>Surgical planning</w:t>
      </w:r>
    </w:p>
    <w:p w14:paraId="0BBC1B2E" w14:textId="77777777" w:rsidR="00066642" w:rsidRDefault="00131870">
      <w:pPr>
        <w:rPr>
          <w:rFonts w:hint="eastAsia"/>
        </w:rPr>
      </w:pPr>
      <w:r>
        <w:t>Select appropriate surgery considering pathology, biomechanics, patient factors, evidence and reasonable alternatives.</w:t>
      </w:r>
    </w:p>
    <w:p w14:paraId="4A6B738D" w14:textId="77777777" w:rsidR="00066642" w:rsidRDefault="00131870">
      <w:pPr>
        <w:pStyle w:val="Heading3"/>
      </w:pPr>
      <w:r>
        <w:t>Surgical competence</w:t>
      </w:r>
    </w:p>
    <w:p w14:paraId="173CB8C6" w14:textId="77777777" w:rsidR="00066642" w:rsidRDefault="00131870">
      <w:pPr>
        <w:rPr>
          <w:rFonts w:hint="eastAsia"/>
        </w:rPr>
      </w:pPr>
      <w:r>
        <w:t>Perform surgery safely and competently within lawful scope and current competence.</w:t>
      </w:r>
    </w:p>
    <w:p w14:paraId="0F894186" w14:textId="77777777" w:rsidR="00066642" w:rsidRDefault="00131870">
      <w:pPr>
        <w:pStyle w:val="Heading3"/>
      </w:pPr>
      <w:r>
        <w:t>Perioperative care</w:t>
      </w:r>
    </w:p>
    <w:p w14:paraId="1FA370FF" w14:textId="77777777" w:rsidR="00066642" w:rsidRDefault="00131870">
      <w:pPr>
        <w:rPr>
          <w:rFonts w:hint="eastAsia"/>
        </w:rPr>
      </w:pPr>
      <w:r>
        <w:t>Maintain appropriate understanding of optimisation, medicines, anaesthetic considerations, infection prevention, thrombosis risk and post-surgical care.</w:t>
      </w:r>
    </w:p>
    <w:p w14:paraId="5C32ACC5" w14:textId="77777777" w:rsidR="00066642" w:rsidRDefault="00131870">
      <w:pPr>
        <w:pStyle w:val="Heading3"/>
      </w:pPr>
      <w:r>
        <w:t>Recognition and management of complications</w:t>
      </w:r>
    </w:p>
    <w:p w14:paraId="1F1ADC02" w14:textId="77777777" w:rsidR="00066642" w:rsidRDefault="00131870">
      <w:pPr>
        <w:rPr>
          <w:rFonts w:hint="eastAsia"/>
        </w:rPr>
      </w:pPr>
      <w:r>
        <w:t>Recognise, initially manage and appropriately refer complications arising from practice.</w:t>
      </w:r>
    </w:p>
    <w:p w14:paraId="6476F56B" w14:textId="77777777" w:rsidR="00066642" w:rsidRDefault="00131870">
      <w:pPr>
        <w:pStyle w:val="Heading3"/>
      </w:pPr>
      <w:r>
        <w:t>Emergency management</w:t>
      </w:r>
    </w:p>
    <w:p w14:paraId="42B1E8A8" w14:textId="77777777" w:rsidR="00066642" w:rsidRDefault="00131870">
      <w:pPr>
        <w:rPr>
          <w:rFonts w:hint="eastAsia"/>
        </w:rPr>
      </w:pPr>
      <w:r>
        <w:t>Maintain emergency-management competence appropriate to role, setting and regulatory requirements.</w:t>
      </w:r>
    </w:p>
    <w:p w14:paraId="3E374641" w14:textId="77777777" w:rsidR="00066642" w:rsidRDefault="00131870">
      <w:pPr>
        <w:pStyle w:val="Heading3"/>
      </w:pPr>
      <w:r>
        <w:t>Multidisciplinary practice</w:t>
      </w:r>
    </w:p>
    <w:p w14:paraId="698F018E" w14:textId="77777777" w:rsidR="00066642" w:rsidRDefault="00131870">
      <w:pPr>
        <w:rPr>
          <w:rFonts w:hint="eastAsia"/>
        </w:rPr>
      </w:pPr>
      <w:r>
        <w:t xml:space="preserve">Work collaboratively with relevant health professionals where patient needs require </w:t>
      </w:r>
      <w:r>
        <w:t>multidisciplinary care.</w:t>
      </w:r>
    </w:p>
    <w:p w14:paraId="2E3B8B8A" w14:textId="77777777" w:rsidR="00066642" w:rsidRDefault="00131870">
      <w:pPr>
        <w:pStyle w:val="Heading3"/>
      </w:pPr>
      <w:r>
        <w:t>Quality assurance</w:t>
      </w:r>
    </w:p>
    <w:p w14:paraId="3D64F6A3" w14:textId="77777777" w:rsidR="00066642" w:rsidRDefault="00131870">
      <w:pPr>
        <w:rPr>
          <w:rFonts w:hint="eastAsia"/>
        </w:rPr>
      </w:pPr>
      <w:r>
        <w:t>Incorporate audit, outcome review, complication review, continuing education, reflective practice and evidence-informed quality improvement.</w:t>
      </w:r>
    </w:p>
    <w:p w14:paraId="6556AC52" w14:textId="77777777" w:rsidR="00066642" w:rsidRDefault="00131870">
      <w:pPr>
        <w:rPr>
          <w:rFonts w:hint="eastAsia"/>
        </w:rPr>
      </w:pPr>
      <w:r>
        <w:br w:type="page"/>
      </w:r>
    </w:p>
    <w:p w14:paraId="491DAF37" w14:textId="77777777" w:rsidR="00066642" w:rsidRDefault="00131870">
      <w:pPr>
        <w:pStyle w:val="Heading1"/>
        <w:pBdr>
          <w:bottom w:val="single" w:sz="10" w:space="4" w:color="B18F41"/>
        </w:pBdr>
      </w:pPr>
      <w:r>
        <w:t>PART Q — BREACHES OF THE CODE</w:t>
      </w:r>
    </w:p>
    <w:p w14:paraId="12D79A43" w14:textId="77777777" w:rsidR="00066642" w:rsidRDefault="00131870">
      <w:pPr>
        <w:pStyle w:val="Heading2"/>
      </w:pPr>
      <w:r>
        <w:t xml:space="preserve">45. Relationship between Society </w:t>
      </w:r>
      <w:r>
        <w:t>processes and external regulation</w:t>
      </w:r>
    </w:p>
    <w:p w14:paraId="7445C88A" w14:textId="77777777" w:rsidR="00066642" w:rsidRDefault="00131870">
      <w:pPr>
        <w:rPr>
          <w:rFonts w:hint="eastAsia"/>
        </w:rPr>
      </w:pPr>
      <w:r>
        <w:t>A breach of this Code may constitute a Society matter independently of whether Ahpra or another regulator takes action. Conversely, the existence of a complaint, notification or investigation does not establish that a member has engaged in misconduct. Society processes must observe procedural fairness.</w:t>
      </w:r>
    </w:p>
    <w:p w14:paraId="342B4BEC" w14:textId="77777777" w:rsidR="00066642" w:rsidRDefault="00131870">
      <w:pPr>
        <w:pStyle w:val="Heading2"/>
      </w:pPr>
      <w:r>
        <w:t>46. Matters potentially constituting a breach</w:t>
      </w:r>
    </w:p>
    <w:p w14:paraId="7C0C64E3" w14:textId="77777777" w:rsidR="00066642" w:rsidRDefault="00131870">
      <w:pPr>
        <w:pStyle w:val="ListBullet"/>
        <w:rPr>
          <w:rFonts w:hint="eastAsia"/>
        </w:rPr>
      </w:pPr>
      <w:r>
        <w:t>serious or repeated departures from professional standards</w:t>
      </w:r>
    </w:p>
    <w:p w14:paraId="02875599" w14:textId="77777777" w:rsidR="00066642" w:rsidRDefault="00131870">
      <w:pPr>
        <w:pStyle w:val="ListBullet"/>
        <w:rPr>
          <w:rFonts w:hint="eastAsia"/>
        </w:rPr>
      </w:pPr>
      <w:r>
        <w:t>dishonesty</w:t>
      </w:r>
    </w:p>
    <w:p w14:paraId="1CEB8F3F" w14:textId="77777777" w:rsidR="00066642" w:rsidRDefault="00131870">
      <w:pPr>
        <w:pStyle w:val="ListBullet"/>
        <w:rPr>
          <w:rFonts w:hint="eastAsia"/>
        </w:rPr>
      </w:pPr>
      <w:r>
        <w:t>serious patient-safety concerns</w:t>
      </w:r>
    </w:p>
    <w:p w14:paraId="13E3345D" w14:textId="77777777" w:rsidR="00066642" w:rsidRDefault="00131870">
      <w:pPr>
        <w:pStyle w:val="ListBullet"/>
        <w:rPr>
          <w:rFonts w:hint="eastAsia"/>
        </w:rPr>
      </w:pPr>
      <w:r>
        <w:t>bullying or harassment</w:t>
      </w:r>
    </w:p>
    <w:p w14:paraId="0E5CA16A" w14:textId="77777777" w:rsidR="00066642" w:rsidRDefault="00131870">
      <w:pPr>
        <w:pStyle w:val="ListBullet"/>
        <w:rPr>
          <w:rFonts w:hint="eastAsia"/>
        </w:rPr>
      </w:pPr>
      <w:r>
        <w:t>misuse of Society titles or logos</w:t>
      </w:r>
    </w:p>
    <w:p w14:paraId="12A919E1" w14:textId="77777777" w:rsidR="00066642" w:rsidRDefault="00131870">
      <w:pPr>
        <w:pStyle w:val="ListBullet"/>
        <w:rPr>
          <w:rFonts w:hint="eastAsia"/>
        </w:rPr>
      </w:pPr>
      <w:r>
        <w:t>breach of confidentiality</w:t>
      </w:r>
    </w:p>
    <w:p w14:paraId="7C529351" w14:textId="77777777" w:rsidR="00066642" w:rsidRDefault="00131870">
      <w:pPr>
        <w:pStyle w:val="ListBullet"/>
        <w:rPr>
          <w:rFonts w:hint="eastAsia"/>
        </w:rPr>
      </w:pPr>
      <w:r>
        <w:t>failure to disclose relevant conflicts</w:t>
      </w:r>
    </w:p>
    <w:p w14:paraId="06EA8EAE" w14:textId="77777777" w:rsidR="00066642" w:rsidRDefault="00131870">
      <w:pPr>
        <w:pStyle w:val="ListBullet"/>
        <w:rPr>
          <w:rFonts w:hint="eastAsia"/>
        </w:rPr>
      </w:pPr>
      <w:r>
        <w:t>serious advertising breaches</w:t>
      </w:r>
    </w:p>
    <w:p w14:paraId="6F704D40" w14:textId="77777777" w:rsidR="00066642" w:rsidRDefault="00131870">
      <w:pPr>
        <w:pStyle w:val="ListBullet"/>
        <w:rPr>
          <w:rFonts w:hint="eastAsia"/>
        </w:rPr>
      </w:pPr>
      <w:r>
        <w:t>significant non-compliance with professional regulation</w:t>
      </w:r>
    </w:p>
    <w:p w14:paraId="42507840" w14:textId="77777777" w:rsidR="00066642" w:rsidRDefault="00131870">
      <w:pPr>
        <w:pStyle w:val="ListBullet"/>
        <w:rPr>
          <w:rFonts w:hint="eastAsia"/>
        </w:rPr>
      </w:pPr>
      <w:r>
        <w:t>criminal conduct materially relevant to professional standing</w:t>
      </w:r>
    </w:p>
    <w:p w14:paraId="24220D96" w14:textId="77777777" w:rsidR="00066642" w:rsidRDefault="00131870">
      <w:pPr>
        <w:pStyle w:val="ListBullet"/>
        <w:rPr>
          <w:rFonts w:hint="eastAsia"/>
        </w:rPr>
      </w:pPr>
      <w:r>
        <w:t>conduct seriously damaging to the integrity of the Society or profession</w:t>
      </w:r>
    </w:p>
    <w:p w14:paraId="49700144" w14:textId="77777777" w:rsidR="00066642" w:rsidRDefault="00131870">
      <w:pPr>
        <w:pStyle w:val="Heading2"/>
      </w:pPr>
      <w:r>
        <w:t>47. Procedural fairness</w:t>
      </w:r>
    </w:p>
    <w:p w14:paraId="68ED7C5F" w14:textId="77777777" w:rsidR="00066642" w:rsidRDefault="00131870">
      <w:pPr>
        <w:ind w:left="259" w:hanging="259"/>
        <w:rPr>
          <w:rFonts w:hint="eastAsia"/>
        </w:rPr>
      </w:pPr>
      <w:r>
        <w:rPr>
          <w:b/>
        </w:rPr>
        <w:t xml:space="preserve">1. </w:t>
      </w:r>
      <w:r>
        <w:t>The member is informed of the substance of the allegation.</w:t>
      </w:r>
    </w:p>
    <w:p w14:paraId="79C92D36" w14:textId="77777777" w:rsidR="00066642" w:rsidRDefault="00131870">
      <w:pPr>
        <w:ind w:left="259" w:hanging="259"/>
        <w:rPr>
          <w:rFonts w:hint="eastAsia"/>
        </w:rPr>
      </w:pPr>
      <w:r>
        <w:rPr>
          <w:b/>
        </w:rPr>
        <w:t xml:space="preserve">2. </w:t>
      </w:r>
      <w:r>
        <w:t>The member receives sufficient information to understand the concern.</w:t>
      </w:r>
    </w:p>
    <w:p w14:paraId="35D8759E" w14:textId="77777777" w:rsidR="00066642" w:rsidRDefault="00131870">
      <w:pPr>
        <w:ind w:left="259" w:hanging="259"/>
        <w:rPr>
          <w:rFonts w:hint="eastAsia"/>
        </w:rPr>
      </w:pPr>
      <w:r>
        <w:rPr>
          <w:b/>
        </w:rPr>
        <w:t xml:space="preserve">3. </w:t>
      </w:r>
      <w:r>
        <w:t>The member is given a reasonable opportunity to respond.</w:t>
      </w:r>
    </w:p>
    <w:p w14:paraId="4C24F1C2" w14:textId="77777777" w:rsidR="00066642" w:rsidRDefault="00131870">
      <w:pPr>
        <w:ind w:left="259" w:hanging="259"/>
        <w:rPr>
          <w:rFonts w:hint="eastAsia"/>
        </w:rPr>
      </w:pPr>
      <w:r>
        <w:rPr>
          <w:b/>
        </w:rPr>
        <w:t xml:space="preserve">4. </w:t>
      </w:r>
      <w:r>
        <w:t>The matter is considered by persons without material conflicts of interest.</w:t>
      </w:r>
    </w:p>
    <w:p w14:paraId="405B84A1" w14:textId="77777777" w:rsidR="00066642" w:rsidRDefault="00131870">
      <w:pPr>
        <w:ind w:left="259" w:hanging="259"/>
        <w:rPr>
          <w:rFonts w:hint="eastAsia"/>
        </w:rPr>
      </w:pPr>
      <w:r>
        <w:rPr>
          <w:b/>
        </w:rPr>
        <w:t xml:space="preserve">5. </w:t>
      </w:r>
      <w:r>
        <w:t>The determination is impartial and based on available evidence.</w:t>
      </w:r>
    </w:p>
    <w:p w14:paraId="11FBF693" w14:textId="77777777" w:rsidR="00066642" w:rsidRDefault="00131870">
      <w:pPr>
        <w:ind w:left="259" w:hanging="259"/>
        <w:rPr>
          <w:rFonts w:hint="eastAsia"/>
        </w:rPr>
      </w:pPr>
      <w:r>
        <w:rPr>
          <w:b/>
        </w:rPr>
        <w:t xml:space="preserve">6. </w:t>
      </w:r>
      <w:r>
        <w:t>The member is informed of any applicable appeal or review mechanism.</w:t>
      </w:r>
    </w:p>
    <w:p w14:paraId="0A2F0FF7" w14:textId="77777777" w:rsidR="00066642" w:rsidRDefault="00131870">
      <w:pPr>
        <w:rPr>
          <w:rFonts w:hint="eastAsia"/>
        </w:rPr>
      </w:pPr>
      <w:r>
        <w:t xml:space="preserve">The </w:t>
      </w:r>
      <w:r>
        <w:t>applicable standard of proof and detailed disciplinary process should be specified in the Society Constitution or a separate Complaints, Investigation and Disciplinary Policy.</w:t>
      </w:r>
    </w:p>
    <w:p w14:paraId="4A8430CD" w14:textId="77777777" w:rsidR="00066642" w:rsidRDefault="00131870">
      <w:pPr>
        <w:pStyle w:val="Heading2"/>
      </w:pPr>
      <w:r>
        <w:t>48. Possible outcomes</w:t>
      </w:r>
    </w:p>
    <w:p w14:paraId="4C50F98B" w14:textId="77777777" w:rsidR="00066642" w:rsidRDefault="00131870">
      <w:pPr>
        <w:pStyle w:val="ListBullet"/>
        <w:rPr>
          <w:rFonts w:hint="eastAsia"/>
        </w:rPr>
      </w:pPr>
      <w:r>
        <w:t>no further action</w:t>
      </w:r>
    </w:p>
    <w:p w14:paraId="598237DD" w14:textId="77777777" w:rsidR="00066642" w:rsidRDefault="00131870">
      <w:pPr>
        <w:pStyle w:val="ListBullet"/>
        <w:rPr>
          <w:rFonts w:hint="eastAsia"/>
        </w:rPr>
      </w:pPr>
      <w:r>
        <w:t>advice or counselling</w:t>
      </w:r>
    </w:p>
    <w:p w14:paraId="73A6087A" w14:textId="77777777" w:rsidR="00066642" w:rsidRDefault="00131870">
      <w:pPr>
        <w:pStyle w:val="ListBullet"/>
        <w:rPr>
          <w:rFonts w:hint="eastAsia"/>
        </w:rPr>
      </w:pPr>
      <w:r>
        <w:t>education or mentoring</w:t>
      </w:r>
    </w:p>
    <w:p w14:paraId="43A01F70" w14:textId="77777777" w:rsidR="00066642" w:rsidRDefault="00131870">
      <w:pPr>
        <w:pStyle w:val="ListBullet"/>
        <w:rPr>
          <w:rFonts w:hint="eastAsia"/>
        </w:rPr>
      </w:pPr>
      <w:r>
        <w:t>formal caution</w:t>
      </w:r>
    </w:p>
    <w:p w14:paraId="70E2F3E9" w14:textId="77777777" w:rsidR="00066642" w:rsidRDefault="00131870">
      <w:pPr>
        <w:pStyle w:val="ListBullet"/>
        <w:rPr>
          <w:rFonts w:hint="eastAsia"/>
        </w:rPr>
      </w:pPr>
      <w:r>
        <w:t>conditions on Society membership</w:t>
      </w:r>
    </w:p>
    <w:p w14:paraId="4DB424E2" w14:textId="77777777" w:rsidR="00066642" w:rsidRDefault="00131870">
      <w:pPr>
        <w:pStyle w:val="ListBullet"/>
        <w:rPr>
          <w:rFonts w:hint="eastAsia"/>
        </w:rPr>
      </w:pPr>
      <w:r>
        <w:t>remediation requirements</w:t>
      </w:r>
    </w:p>
    <w:p w14:paraId="12F7DA08" w14:textId="77777777" w:rsidR="00066642" w:rsidRDefault="00131870">
      <w:pPr>
        <w:pStyle w:val="ListBullet"/>
        <w:rPr>
          <w:rFonts w:hint="eastAsia"/>
        </w:rPr>
      </w:pPr>
      <w:r>
        <w:t>suspension of membership</w:t>
      </w:r>
    </w:p>
    <w:p w14:paraId="497415E9" w14:textId="77777777" w:rsidR="00066642" w:rsidRDefault="00131870">
      <w:pPr>
        <w:pStyle w:val="ListBullet"/>
        <w:rPr>
          <w:rFonts w:hint="eastAsia"/>
        </w:rPr>
      </w:pPr>
      <w:r>
        <w:t>removal of Society designations</w:t>
      </w:r>
    </w:p>
    <w:p w14:paraId="05795D8C" w14:textId="77777777" w:rsidR="00066642" w:rsidRDefault="00131870">
      <w:pPr>
        <w:pStyle w:val="ListBullet"/>
        <w:rPr>
          <w:rFonts w:hint="eastAsia"/>
        </w:rPr>
      </w:pPr>
      <w:r>
        <w:t>termination of membership</w:t>
      </w:r>
    </w:p>
    <w:p w14:paraId="1C06656E" w14:textId="77777777" w:rsidR="00066642" w:rsidRDefault="00131870">
      <w:pPr>
        <w:pStyle w:val="ListBullet"/>
        <w:rPr>
          <w:rFonts w:hint="eastAsia"/>
        </w:rPr>
      </w:pPr>
      <w:r>
        <w:t>referral to an external authority where required or appropriate</w:t>
      </w:r>
    </w:p>
    <w:p w14:paraId="3C6DEED3" w14:textId="77777777" w:rsidR="00066642" w:rsidRDefault="00131870">
      <w:pPr>
        <w:rPr>
          <w:rFonts w:hint="eastAsia"/>
        </w:rPr>
      </w:pPr>
      <w:r>
        <w:t>Any disciplinary response should be proportionate to the seriousness of the conduct, risk to patients and relevant circumstances.</w:t>
      </w:r>
    </w:p>
    <w:p w14:paraId="606FE187" w14:textId="77777777" w:rsidR="00066642" w:rsidRDefault="00131870">
      <w:pPr>
        <w:rPr>
          <w:rFonts w:hint="eastAsia"/>
        </w:rPr>
      </w:pPr>
      <w:r>
        <w:br w:type="page"/>
      </w:r>
    </w:p>
    <w:p w14:paraId="3F2BDFD2" w14:textId="77777777" w:rsidR="00066642" w:rsidRDefault="00131870">
      <w:pPr>
        <w:pStyle w:val="Heading1"/>
        <w:pBdr>
          <w:bottom w:val="single" w:sz="10" w:space="4" w:color="B18F41"/>
        </w:pBdr>
      </w:pPr>
      <w:r>
        <w:t>PART R — MEMBER DECLARATION</w:t>
      </w:r>
    </w:p>
    <w:p w14:paraId="113644B9" w14:textId="77777777" w:rsidR="00066642" w:rsidRDefault="00131870">
      <w:pPr>
        <w:pStyle w:val="Heading2"/>
      </w:pPr>
      <w:r>
        <w:t>49. Member commitment</w:t>
      </w:r>
    </w:p>
    <w:p w14:paraId="69F720FB" w14:textId="77777777" w:rsidR="00066642" w:rsidRDefault="00131870">
      <w:pPr>
        <w:rPr>
          <w:rFonts w:hint="eastAsia"/>
        </w:rPr>
      </w:pPr>
      <w:r>
        <w:t>By accepting or renewing membership of the Society, a member acknowledges that they have read and understood this Code and agree to uphold its principles.</w:t>
      </w:r>
    </w:p>
    <w:p w14:paraId="48B92ABB" w14:textId="77777777" w:rsidR="00066642" w:rsidRDefault="00131870">
      <w:pPr>
        <w:ind w:left="259" w:hanging="259"/>
        <w:rPr>
          <w:rFonts w:hint="eastAsia"/>
        </w:rPr>
      </w:pPr>
      <w:r>
        <w:rPr>
          <w:b/>
        </w:rPr>
        <w:t xml:space="preserve">1. </w:t>
      </w:r>
      <w:r>
        <w:t>I will comply with relevant laws and regulatory standards.</w:t>
      </w:r>
    </w:p>
    <w:p w14:paraId="02A910D8" w14:textId="77777777" w:rsidR="00066642" w:rsidRDefault="00131870">
      <w:pPr>
        <w:ind w:left="259" w:hanging="259"/>
        <w:rPr>
          <w:rFonts w:hint="eastAsia"/>
        </w:rPr>
      </w:pPr>
      <w:r>
        <w:rPr>
          <w:b/>
        </w:rPr>
        <w:t xml:space="preserve">2. </w:t>
      </w:r>
      <w:r>
        <w:t>I will maintain appropriate registration, competence and professional indemnity insurance.</w:t>
      </w:r>
    </w:p>
    <w:p w14:paraId="2AF7D7D5" w14:textId="77777777" w:rsidR="00066642" w:rsidRDefault="00131870">
      <w:pPr>
        <w:ind w:left="259" w:hanging="259"/>
        <w:rPr>
          <w:rFonts w:hint="eastAsia"/>
        </w:rPr>
      </w:pPr>
      <w:r>
        <w:rPr>
          <w:b/>
        </w:rPr>
        <w:t xml:space="preserve">3. </w:t>
      </w:r>
      <w:r>
        <w:t>I will place patient safety, dignity and interests at the centre of my practice.</w:t>
      </w:r>
    </w:p>
    <w:p w14:paraId="011FC40D" w14:textId="77777777" w:rsidR="00066642" w:rsidRDefault="00131870">
      <w:pPr>
        <w:ind w:left="259" w:hanging="259"/>
        <w:rPr>
          <w:rFonts w:hint="eastAsia"/>
        </w:rPr>
      </w:pPr>
      <w:r>
        <w:rPr>
          <w:b/>
        </w:rPr>
        <w:t xml:space="preserve">4. </w:t>
      </w:r>
      <w:r>
        <w:t>I will communicate honestly, obtain valid consent and respect patient autonomy.</w:t>
      </w:r>
    </w:p>
    <w:p w14:paraId="3AB0DDA5" w14:textId="77777777" w:rsidR="00066642" w:rsidRDefault="00131870">
      <w:pPr>
        <w:ind w:left="259" w:hanging="259"/>
        <w:rPr>
          <w:rFonts w:hint="eastAsia"/>
        </w:rPr>
      </w:pPr>
      <w:r>
        <w:rPr>
          <w:b/>
        </w:rPr>
        <w:t xml:space="preserve">5. </w:t>
      </w:r>
      <w:r>
        <w:t>I will practise within my competence and seek assistance where required.</w:t>
      </w:r>
    </w:p>
    <w:p w14:paraId="2E33E241" w14:textId="77777777" w:rsidR="00066642" w:rsidRDefault="00131870">
      <w:pPr>
        <w:ind w:left="259" w:hanging="259"/>
        <w:rPr>
          <w:rFonts w:hint="eastAsia"/>
        </w:rPr>
      </w:pPr>
      <w:r>
        <w:rPr>
          <w:b/>
        </w:rPr>
        <w:t xml:space="preserve">6. </w:t>
      </w:r>
      <w:r>
        <w:t xml:space="preserve">I will treat patients, colleagues, students and the </w:t>
      </w:r>
      <w:r>
        <w:t>community with dignity and respect.</w:t>
      </w:r>
    </w:p>
    <w:p w14:paraId="177B985B" w14:textId="77777777" w:rsidR="00066642" w:rsidRDefault="00131870">
      <w:pPr>
        <w:ind w:left="259" w:hanging="259"/>
        <w:rPr>
          <w:rFonts w:hint="eastAsia"/>
        </w:rPr>
      </w:pPr>
      <w:r>
        <w:rPr>
          <w:b/>
        </w:rPr>
        <w:t xml:space="preserve">7. </w:t>
      </w:r>
      <w:r>
        <w:t>I will contribute to evidence-informed practice, education, peer review and continuous improvement.</w:t>
      </w:r>
    </w:p>
    <w:p w14:paraId="7B908C22" w14:textId="77777777" w:rsidR="00066642" w:rsidRDefault="00131870">
      <w:pPr>
        <w:ind w:left="259" w:hanging="259"/>
        <w:rPr>
          <w:rFonts w:hint="eastAsia"/>
        </w:rPr>
      </w:pPr>
      <w:r>
        <w:rPr>
          <w:b/>
        </w:rPr>
        <w:t xml:space="preserve">8. </w:t>
      </w:r>
      <w:r>
        <w:t>I will cooperate with lawful and procedurally fair Society processes.</w:t>
      </w:r>
    </w:p>
    <w:p w14:paraId="735CF394" w14:textId="77777777" w:rsidR="00066642" w:rsidRDefault="00131870">
      <w:pPr>
        <w:ind w:left="259" w:hanging="259"/>
        <w:rPr>
          <w:rFonts w:hint="eastAsia"/>
        </w:rPr>
      </w:pPr>
      <w:r>
        <w:rPr>
          <w:b/>
        </w:rPr>
        <w:t xml:space="preserve">9. </w:t>
      </w:r>
      <w:r>
        <w:t xml:space="preserve">I accept that serious breaches may </w:t>
      </w:r>
      <w:r>
        <w:t>result in action under the Society Constitution and disciplinary policies.</w:t>
      </w:r>
    </w:p>
    <w:p w14:paraId="4FF95F17" w14:textId="77777777" w:rsidR="00066642" w:rsidRDefault="00066642">
      <w:pPr>
        <w:spacing w:before="320"/>
        <w:rPr>
          <w:rFonts w:hint="eastAsia"/>
        </w:rPr>
      </w:pPr>
    </w:p>
    <w:tbl>
      <w:tblPr>
        <w:tblStyle w:val="TableGrid"/>
        <w:tblW w:w="0" w:type="auto"/>
        <w:jc w:val="center"/>
        <w:tblLook w:val="04A0" w:firstRow="1" w:lastRow="0" w:firstColumn="1" w:lastColumn="0" w:noHBand="0" w:noVBand="1"/>
      </w:tblPr>
      <w:tblGrid>
        <w:gridCol w:w="4993"/>
        <w:gridCol w:w="4991"/>
      </w:tblGrid>
      <w:tr w:rsidR="00066642" w14:paraId="7D113320" w14:textId="77777777">
        <w:trPr>
          <w:jc w:val="center"/>
        </w:trPr>
        <w:tc>
          <w:tcPr>
            <w:tcW w:w="4997" w:type="dxa"/>
            <w:shd w:val="clear" w:color="auto" w:fill="F3F5F7"/>
            <w:tcMar>
              <w:top w:w="140" w:type="dxa"/>
              <w:left w:w="140" w:type="dxa"/>
              <w:bottom w:w="140" w:type="dxa"/>
              <w:right w:w="140" w:type="dxa"/>
            </w:tcMar>
          </w:tcPr>
          <w:p w14:paraId="2CC1C59B" w14:textId="77777777" w:rsidR="00066642" w:rsidRDefault="00131870">
            <w:pPr>
              <w:rPr>
                <w:rFonts w:hint="eastAsia"/>
              </w:rPr>
            </w:pPr>
            <w:r>
              <w:t>Member name</w:t>
            </w:r>
          </w:p>
        </w:tc>
        <w:tc>
          <w:tcPr>
            <w:tcW w:w="4997" w:type="dxa"/>
            <w:tcMar>
              <w:top w:w="140" w:type="dxa"/>
              <w:left w:w="140" w:type="dxa"/>
              <w:bottom w:w="140" w:type="dxa"/>
              <w:right w:w="140" w:type="dxa"/>
            </w:tcMar>
          </w:tcPr>
          <w:p w14:paraId="20C69364" w14:textId="77777777" w:rsidR="00066642" w:rsidRDefault="00066642">
            <w:pPr>
              <w:rPr>
                <w:rFonts w:hint="eastAsia"/>
              </w:rPr>
            </w:pPr>
          </w:p>
        </w:tc>
      </w:tr>
      <w:tr w:rsidR="00066642" w14:paraId="73CC0A44" w14:textId="77777777">
        <w:trPr>
          <w:jc w:val="center"/>
        </w:trPr>
        <w:tc>
          <w:tcPr>
            <w:tcW w:w="4997" w:type="dxa"/>
            <w:shd w:val="clear" w:color="auto" w:fill="F3F5F7"/>
            <w:tcMar>
              <w:top w:w="140" w:type="dxa"/>
              <w:left w:w="140" w:type="dxa"/>
              <w:bottom w:w="140" w:type="dxa"/>
              <w:right w:w="140" w:type="dxa"/>
            </w:tcMar>
          </w:tcPr>
          <w:p w14:paraId="17E33DA0" w14:textId="77777777" w:rsidR="00066642" w:rsidRDefault="00131870">
            <w:pPr>
              <w:rPr>
                <w:rFonts w:hint="eastAsia"/>
              </w:rPr>
            </w:pPr>
            <w:r>
              <w:t>Membership category</w:t>
            </w:r>
          </w:p>
        </w:tc>
        <w:tc>
          <w:tcPr>
            <w:tcW w:w="4997" w:type="dxa"/>
            <w:tcMar>
              <w:top w:w="140" w:type="dxa"/>
              <w:left w:w="140" w:type="dxa"/>
              <w:bottom w:w="140" w:type="dxa"/>
              <w:right w:w="140" w:type="dxa"/>
            </w:tcMar>
          </w:tcPr>
          <w:p w14:paraId="03BFE54A" w14:textId="77777777" w:rsidR="00066642" w:rsidRDefault="00066642">
            <w:pPr>
              <w:rPr>
                <w:rFonts w:hint="eastAsia"/>
              </w:rPr>
            </w:pPr>
          </w:p>
        </w:tc>
      </w:tr>
      <w:tr w:rsidR="00066642" w14:paraId="02B23CB2" w14:textId="77777777">
        <w:trPr>
          <w:jc w:val="center"/>
        </w:trPr>
        <w:tc>
          <w:tcPr>
            <w:tcW w:w="4997" w:type="dxa"/>
            <w:shd w:val="clear" w:color="auto" w:fill="F3F5F7"/>
            <w:tcMar>
              <w:top w:w="140" w:type="dxa"/>
              <w:left w:w="140" w:type="dxa"/>
              <w:bottom w:w="140" w:type="dxa"/>
              <w:right w:w="140" w:type="dxa"/>
            </w:tcMar>
          </w:tcPr>
          <w:p w14:paraId="75B2D05B" w14:textId="77777777" w:rsidR="00066642" w:rsidRDefault="00131870">
            <w:pPr>
              <w:rPr>
                <w:rFonts w:hint="eastAsia"/>
              </w:rPr>
            </w:pPr>
            <w:r>
              <w:t>Signature</w:t>
            </w:r>
          </w:p>
        </w:tc>
        <w:tc>
          <w:tcPr>
            <w:tcW w:w="4997" w:type="dxa"/>
            <w:tcMar>
              <w:top w:w="140" w:type="dxa"/>
              <w:left w:w="140" w:type="dxa"/>
              <w:bottom w:w="140" w:type="dxa"/>
              <w:right w:w="140" w:type="dxa"/>
            </w:tcMar>
          </w:tcPr>
          <w:p w14:paraId="67F0246C" w14:textId="77777777" w:rsidR="00066642" w:rsidRDefault="00066642">
            <w:pPr>
              <w:rPr>
                <w:rFonts w:hint="eastAsia"/>
              </w:rPr>
            </w:pPr>
          </w:p>
        </w:tc>
      </w:tr>
      <w:tr w:rsidR="00066642" w14:paraId="54D3F188" w14:textId="77777777">
        <w:trPr>
          <w:jc w:val="center"/>
        </w:trPr>
        <w:tc>
          <w:tcPr>
            <w:tcW w:w="4997" w:type="dxa"/>
            <w:shd w:val="clear" w:color="auto" w:fill="F3F5F7"/>
            <w:tcMar>
              <w:top w:w="140" w:type="dxa"/>
              <w:left w:w="140" w:type="dxa"/>
              <w:bottom w:w="140" w:type="dxa"/>
              <w:right w:w="140" w:type="dxa"/>
            </w:tcMar>
          </w:tcPr>
          <w:p w14:paraId="0ACF3D01" w14:textId="77777777" w:rsidR="00066642" w:rsidRDefault="00131870">
            <w:pPr>
              <w:rPr>
                <w:rFonts w:hint="eastAsia"/>
              </w:rPr>
            </w:pPr>
            <w:r>
              <w:t>Date</w:t>
            </w:r>
          </w:p>
        </w:tc>
        <w:tc>
          <w:tcPr>
            <w:tcW w:w="4997" w:type="dxa"/>
            <w:tcMar>
              <w:top w:w="140" w:type="dxa"/>
              <w:left w:w="140" w:type="dxa"/>
              <w:bottom w:w="140" w:type="dxa"/>
              <w:right w:w="140" w:type="dxa"/>
            </w:tcMar>
          </w:tcPr>
          <w:p w14:paraId="4B63F5A7" w14:textId="77777777" w:rsidR="00066642" w:rsidRDefault="00066642">
            <w:pPr>
              <w:rPr>
                <w:rFonts w:hint="eastAsia"/>
              </w:rPr>
            </w:pPr>
          </w:p>
        </w:tc>
      </w:tr>
    </w:tbl>
    <w:p w14:paraId="61E5D236" w14:textId="77777777" w:rsidR="00066642" w:rsidRDefault="00131870">
      <w:pPr>
        <w:rPr>
          <w:rFonts w:hint="eastAsia"/>
        </w:rPr>
      </w:pPr>
      <w:r>
        <w:br w:type="page"/>
      </w:r>
    </w:p>
    <w:p w14:paraId="48BE395C" w14:textId="77777777" w:rsidR="00066642" w:rsidRDefault="00131870">
      <w:pPr>
        <w:pStyle w:val="Heading1"/>
        <w:pBdr>
          <w:bottom w:val="single" w:sz="10" w:space="4" w:color="B18F41"/>
        </w:pBdr>
      </w:pPr>
      <w:r>
        <w:t>PART S — REVIEW AND REGULATORY REFERENCES</w:t>
      </w:r>
    </w:p>
    <w:p w14:paraId="44AB4CCC" w14:textId="77777777" w:rsidR="00066642" w:rsidRDefault="00131870">
      <w:pPr>
        <w:pStyle w:val="Heading2"/>
      </w:pPr>
      <w:r>
        <w:t>50. Review of the Code</w:t>
      </w:r>
    </w:p>
    <w:p w14:paraId="7AAE07CC" w14:textId="77777777" w:rsidR="00066642" w:rsidRDefault="00131870">
      <w:pPr>
        <w:rPr>
          <w:rFonts w:hint="eastAsia"/>
        </w:rPr>
      </w:pPr>
      <w:r>
        <w:t>The Society will periodically review this Code to ensure consistency with the National Law, current Podiatry Board and Ahpra requirements, professional capability standards, applicable legislation, contemporary evidence and accepted principles of clinical governance and patient safety.</w:t>
      </w:r>
    </w:p>
    <w:p w14:paraId="016E0736" w14:textId="77777777" w:rsidR="00066642" w:rsidRDefault="00131870">
      <w:pPr>
        <w:rPr>
          <w:rFonts w:hint="eastAsia"/>
        </w:rPr>
      </w:pPr>
      <w:r>
        <w:t xml:space="preserve">Regulatory change will </w:t>
      </w:r>
      <w:r>
        <w:t>take precedence over any inconsistent provision of this Code pending formal amendment.</w:t>
      </w:r>
    </w:p>
    <w:p w14:paraId="75175DE2" w14:textId="77777777" w:rsidR="00066642" w:rsidRDefault="00131870">
      <w:pPr>
        <w:pStyle w:val="Heading2"/>
      </w:pPr>
      <w:r>
        <w:t>51. Core regulatory references</w:t>
      </w:r>
    </w:p>
    <w:tbl>
      <w:tblPr>
        <w:tblStyle w:val="TableGrid"/>
        <w:tblW w:w="0" w:type="auto"/>
        <w:jc w:val="center"/>
        <w:tblLook w:val="04A0" w:firstRow="1" w:lastRow="0" w:firstColumn="1" w:lastColumn="0" w:noHBand="0" w:noVBand="1"/>
      </w:tblPr>
      <w:tblGrid>
        <w:gridCol w:w="2210"/>
        <w:gridCol w:w="2246"/>
        <w:gridCol w:w="5528"/>
      </w:tblGrid>
      <w:tr w:rsidR="00066642" w14:paraId="32B871D5" w14:textId="77777777">
        <w:trPr>
          <w:tblHeader/>
          <w:jc w:val="center"/>
        </w:trPr>
        <w:tc>
          <w:tcPr>
            <w:tcW w:w="3331" w:type="dxa"/>
            <w:shd w:val="clear" w:color="auto" w:fill="122E4A"/>
          </w:tcPr>
          <w:p w14:paraId="1C799AF2" w14:textId="77777777" w:rsidR="00066642" w:rsidRDefault="00131870">
            <w:pPr>
              <w:rPr>
                <w:rFonts w:hint="eastAsia"/>
              </w:rPr>
            </w:pPr>
            <w:r>
              <w:rPr>
                <w:b/>
                <w:color w:val="FFFFFF"/>
              </w:rPr>
              <w:t>Authority</w:t>
            </w:r>
          </w:p>
        </w:tc>
        <w:tc>
          <w:tcPr>
            <w:tcW w:w="3331" w:type="dxa"/>
            <w:shd w:val="clear" w:color="auto" w:fill="122E4A"/>
          </w:tcPr>
          <w:p w14:paraId="0039EDE4" w14:textId="77777777" w:rsidR="00066642" w:rsidRDefault="00131870">
            <w:pPr>
              <w:rPr>
                <w:rFonts w:hint="eastAsia"/>
              </w:rPr>
            </w:pPr>
            <w:r>
              <w:rPr>
                <w:b/>
                <w:color w:val="FFFFFF"/>
              </w:rPr>
              <w:t>Reference</w:t>
            </w:r>
          </w:p>
        </w:tc>
        <w:tc>
          <w:tcPr>
            <w:tcW w:w="3331" w:type="dxa"/>
            <w:shd w:val="clear" w:color="auto" w:fill="122E4A"/>
          </w:tcPr>
          <w:p w14:paraId="4967EB3D" w14:textId="77777777" w:rsidR="00066642" w:rsidRDefault="00131870">
            <w:pPr>
              <w:rPr>
                <w:rFonts w:hint="eastAsia"/>
              </w:rPr>
            </w:pPr>
            <w:r>
              <w:rPr>
                <w:b/>
                <w:color w:val="FFFFFF"/>
              </w:rPr>
              <w:t>Website</w:t>
            </w:r>
          </w:p>
        </w:tc>
      </w:tr>
      <w:tr w:rsidR="00066642" w14:paraId="0229435D" w14:textId="77777777">
        <w:trPr>
          <w:jc w:val="center"/>
        </w:trPr>
        <w:tc>
          <w:tcPr>
            <w:tcW w:w="3331" w:type="dxa"/>
            <w:tcMar>
              <w:top w:w="90" w:type="dxa"/>
              <w:left w:w="100" w:type="dxa"/>
              <w:bottom w:w="90" w:type="dxa"/>
              <w:right w:w="100" w:type="dxa"/>
            </w:tcMar>
          </w:tcPr>
          <w:p w14:paraId="68F3C51A" w14:textId="77777777" w:rsidR="00066642" w:rsidRDefault="00131870">
            <w:pPr>
              <w:rPr>
                <w:rFonts w:hint="eastAsia"/>
              </w:rPr>
            </w:pPr>
            <w:r>
              <w:t>Ahpra / National Boards</w:t>
            </w:r>
          </w:p>
        </w:tc>
        <w:tc>
          <w:tcPr>
            <w:tcW w:w="3331" w:type="dxa"/>
            <w:tcMar>
              <w:top w:w="90" w:type="dxa"/>
              <w:left w:w="100" w:type="dxa"/>
              <w:bottom w:w="90" w:type="dxa"/>
              <w:right w:w="100" w:type="dxa"/>
            </w:tcMar>
          </w:tcPr>
          <w:p w14:paraId="6ADD76A5" w14:textId="77777777" w:rsidR="00066642" w:rsidRDefault="00131870">
            <w:pPr>
              <w:rPr>
                <w:rFonts w:hint="eastAsia"/>
              </w:rPr>
            </w:pPr>
            <w:r>
              <w:t>Shared Code of Conduct for registered health practitioners (2022; current version as amended).</w:t>
            </w:r>
          </w:p>
        </w:tc>
        <w:tc>
          <w:tcPr>
            <w:tcW w:w="3331" w:type="dxa"/>
            <w:tcMar>
              <w:top w:w="90" w:type="dxa"/>
              <w:left w:w="100" w:type="dxa"/>
              <w:bottom w:w="90" w:type="dxa"/>
              <w:right w:w="100" w:type="dxa"/>
            </w:tcMar>
          </w:tcPr>
          <w:p w14:paraId="4D1D8FFA" w14:textId="77777777" w:rsidR="00066642" w:rsidRDefault="00131870">
            <w:pPr>
              <w:rPr>
                <w:rFonts w:hint="eastAsia"/>
              </w:rPr>
            </w:pPr>
            <w:r>
              <w:t>https://www.ahpra.gov.au/Resources/Code-of-conduct/Shared-Code-of-conduct.aspx</w:t>
            </w:r>
          </w:p>
        </w:tc>
      </w:tr>
      <w:tr w:rsidR="00066642" w14:paraId="08CC4985" w14:textId="77777777">
        <w:trPr>
          <w:jc w:val="center"/>
        </w:trPr>
        <w:tc>
          <w:tcPr>
            <w:tcW w:w="3331" w:type="dxa"/>
            <w:tcMar>
              <w:top w:w="90" w:type="dxa"/>
              <w:left w:w="100" w:type="dxa"/>
              <w:bottom w:w="90" w:type="dxa"/>
              <w:right w:w="100" w:type="dxa"/>
            </w:tcMar>
          </w:tcPr>
          <w:p w14:paraId="0409FC96" w14:textId="77777777" w:rsidR="00066642" w:rsidRDefault="00131870">
            <w:pPr>
              <w:rPr>
                <w:rFonts w:hint="eastAsia"/>
              </w:rPr>
            </w:pPr>
            <w:r>
              <w:t>Podiatry Board of Australia</w:t>
            </w:r>
          </w:p>
        </w:tc>
        <w:tc>
          <w:tcPr>
            <w:tcW w:w="3331" w:type="dxa"/>
            <w:tcMar>
              <w:top w:w="90" w:type="dxa"/>
              <w:left w:w="100" w:type="dxa"/>
              <w:bottom w:w="90" w:type="dxa"/>
              <w:right w:w="100" w:type="dxa"/>
            </w:tcMar>
          </w:tcPr>
          <w:p w14:paraId="0E2BCA02" w14:textId="77777777" w:rsidR="00066642" w:rsidRDefault="00131870">
            <w:pPr>
              <w:rPr>
                <w:rFonts w:hint="eastAsia"/>
              </w:rPr>
            </w:pPr>
            <w:r>
              <w:t>Registration standards, codes, guidelines and policies.</w:t>
            </w:r>
          </w:p>
        </w:tc>
        <w:tc>
          <w:tcPr>
            <w:tcW w:w="3331" w:type="dxa"/>
            <w:tcMar>
              <w:top w:w="90" w:type="dxa"/>
              <w:left w:w="100" w:type="dxa"/>
              <w:bottom w:w="90" w:type="dxa"/>
              <w:right w:w="100" w:type="dxa"/>
            </w:tcMar>
          </w:tcPr>
          <w:p w14:paraId="40F16C15" w14:textId="77777777" w:rsidR="00066642" w:rsidRDefault="00131870">
            <w:pPr>
              <w:rPr>
                <w:rFonts w:hint="eastAsia"/>
              </w:rPr>
            </w:pPr>
            <w:r>
              <w:t>https://www.podiatryboard.gov.au/Registration-Standards.aspx</w:t>
            </w:r>
          </w:p>
        </w:tc>
      </w:tr>
      <w:tr w:rsidR="00066642" w14:paraId="02720976" w14:textId="77777777">
        <w:trPr>
          <w:jc w:val="center"/>
        </w:trPr>
        <w:tc>
          <w:tcPr>
            <w:tcW w:w="3331" w:type="dxa"/>
            <w:tcMar>
              <w:top w:w="90" w:type="dxa"/>
              <w:left w:w="100" w:type="dxa"/>
              <w:bottom w:w="90" w:type="dxa"/>
              <w:right w:w="100" w:type="dxa"/>
            </w:tcMar>
          </w:tcPr>
          <w:p w14:paraId="202D340F" w14:textId="77777777" w:rsidR="00066642" w:rsidRDefault="00131870">
            <w:pPr>
              <w:rPr>
                <w:rFonts w:hint="eastAsia"/>
              </w:rPr>
            </w:pPr>
            <w:r>
              <w:t>Podiatry Board of Australia</w:t>
            </w:r>
          </w:p>
        </w:tc>
        <w:tc>
          <w:tcPr>
            <w:tcW w:w="3331" w:type="dxa"/>
            <w:tcMar>
              <w:top w:w="90" w:type="dxa"/>
              <w:left w:w="100" w:type="dxa"/>
              <w:bottom w:w="90" w:type="dxa"/>
              <w:right w:w="100" w:type="dxa"/>
            </w:tcMar>
          </w:tcPr>
          <w:p w14:paraId="0132D488" w14:textId="77777777" w:rsidR="00066642" w:rsidRDefault="00131870">
            <w:pPr>
              <w:rPr>
                <w:rFonts w:hint="eastAsia"/>
              </w:rPr>
            </w:pPr>
            <w:r>
              <w:t>Specialist registration framework for the recognised podiatry specialty.</w:t>
            </w:r>
          </w:p>
        </w:tc>
        <w:tc>
          <w:tcPr>
            <w:tcW w:w="3331" w:type="dxa"/>
            <w:tcMar>
              <w:top w:w="90" w:type="dxa"/>
              <w:left w:w="100" w:type="dxa"/>
              <w:bottom w:w="90" w:type="dxa"/>
              <w:right w:w="100" w:type="dxa"/>
            </w:tcMar>
          </w:tcPr>
          <w:p w14:paraId="161017E9" w14:textId="77777777" w:rsidR="00066642" w:rsidRDefault="00131870">
            <w:pPr>
              <w:rPr>
                <w:rFonts w:hint="eastAsia"/>
              </w:rPr>
            </w:pPr>
            <w:r>
              <w:t>https://www.podiatryboard.gov.au/Registration/Specialist-Registration.aspx</w:t>
            </w:r>
          </w:p>
        </w:tc>
      </w:tr>
      <w:tr w:rsidR="00066642" w14:paraId="78A98FCD" w14:textId="77777777">
        <w:trPr>
          <w:jc w:val="center"/>
        </w:trPr>
        <w:tc>
          <w:tcPr>
            <w:tcW w:w="3331" w:type="dxa"/>
            <w:tcMar>
              <w:top w:w="90" w:type="dxa"/>
              <w:left w:w="100" w:type="dxa"/>
              <w:bottom w:w="90" w:type="dxa"/>
              <w:right w:w="100" w:type="dxa"/>
            </w:tcMar>
          </w:tcPr>
          <w:p w14:paraId="6BE19B3D" w14:textId="77777777" w:rsidR="00066642" w:rsidRDefault="00131870">
            <w:pPr>
              <w:rPr>
                <w:rFonts w:hint="eastAsia"/>
              </w:rPr>
            </w:pPr>
            <w:r>
              <w:t>Podiatry Board of Australia / Accreditation</w:t>
            </w:r>
          </w:p>
        </w:tc>
        <w:tc>
          <w:tcPr>
            <w:tcW w:w="3331" w:type="dxa"/>
            <w:tcMar>
              <w:top w:w="90" w:type="dxa"/>
              <w:left w:w="100" w:type="dxa"/>
              <w:bottom w:w="90" w:type="dxa"/>
              <w:right w:w="100" w:type="dxa"/>
            </w:tcMar>
          </w:tcPr>
          <w:p w14:paraId="490D7187" w14:textId="77777777" w:rsidR="00066642" w:rsidRDefault="00131870">
            <w:pPr>
              <w:rPr>
                <w:rFonts w:hint="eastAsia"/>
              </w:rPr>
            </w:pPr>
            <w:r>
              <w:t xml:space="preserve">Accreditation and professional capability </w:t>
            </w:r>
            <w:r>
              <w:t>standards relevant to specialist podiatry education and practice.</w:t>
            </w:r>
          </w:p>
        </w:tc>
        <w:tc>
          <w:tcPr>
            <w:tcW w:w="3331" w:type="dxa"/>
            <w:tcMar>
              <w:top w:w="90" w:type="dxa"/>
              <w:left w:w="100" w:type="dxa"/>
              <w:bottom w:w="90" w:type="dxa"/>
              <w:right w:w="100" w:type="dxa"/>
            </w:tcMar>
          </w:tcPr>
          <w:p w14:paraId="23C932AB" w14:textId="77777777" w:rsidR="00066642" w:rsidRDefault="00131870">
            <w:pPr>
              <w:rPr>
                <w:rFonts w:hint="eastAsia"/>
              </w:rPr>
            </w:pPr>
            <w:r>
              <w:t>https://www.podiatryboard.gov.au/Accreditation.aspx</w:t>
            </w:r>
          </w:p>
        </w:tc>
      </w:tr>
      <w:tr w:rsidR="00066642" w14:paraId="64CF402A" w14:textId="77777777">
        <w:trPr>
          <w:jc w:val="center"/>
        </w:trPr>
        <w:tc>
          <w:tcPr>
            <w:tcW w:w="3331" w:type="dxa"/>
            <w:tcMar>
              <w:top w:w="90" w:type="dxa"/>
              <w:left w:w="100" w:type="dxa"/>
              <w:bottom w:w="90" w:type="dxa"/>
              <w:right w:w="100" w:type="dxa"/>
            </w:tcMar>
          </w:tcPr>
          <w:p w14:paraId="1BFEA8D5" w14:textId="77777777" w:rsidR="00066642" w:rsidRDefault="00131870">
            <w:pPr>
              <w:rPr>
                <w:rFonts w:hint="eastAsia"/>
              </w:rPr>
            </w:pPr>
            <w:r>
              <w:t>Ahpra</w:t>
            </w:r>
          </w:p>
        </w:tc>
        <w:tc>
          <w:tcPr>
            <w:tcW w:w="3331" w:type="dxa"/>
            <w:tcMar>
              <w:top w:w="90" w:type="dxa"/>
              <w:left w:w="100" w:type="dxa"/>
              <w:bottom w:w="90" w:type="dxa"/>
              <w:right w:w="100" w:type="dxa"/>
            </w:tcMar>
          </w:tcPr>
          <w:p w14:paraId="139FA283" w14:textId="77777777" w:rsidR="00066642" w:rsidRDefault="00131870">
            <w:pPr>
              <w:rPr>
                <w:rFonts w:hint="eastAsia"/>
              </w:rPr>
            </w:pPr>
            <w:r>
              <w:t>Advertising hub and National Law advertising requirements.</w:t>
            </w:r>
          </w:p>
        </w:tc>
        <w:tc>
          <w:tcPr>
            <w:tcW w:w="3331" w:type="dxa"/>
            <w:tcMar>
              <w:top w:w="90" w:type="dxa"/>
              <w:left w:w="100" w:type="dxa"/>
              <w:bottom w:w="90" w:type="dxa"/>
              <w:right w:w="100" w:type="dxa"/>
            </w:tcMar>
          </w:tcPr>
          <w:p w14:paraId="6E2A38BB" w14:textId="77777777" w:rsidR="00066642" w:rsidRDefault="00131870">
            <w:pPr>
              <w:rPr>
                <w:rFonts w:hint="eastAsia"/>
              </w:rPr>
            </w:pPr>
            <w:r>
              <w:t>https://www.ahpra.gov.au/Resources/Advertising-hub.aspx</w:t>
            </w:r>
          </w:p>
        </w:tc>
      </w:tr>
    </w:tbl>
    <w:p w14:paraId="7DDD6A30" w14:textId="77777777" w:rsidR="00066642" w:rsidRDefault="00131870">
      <w:pPr>
        <w:pStyle w:val="Heading2"/>
      </w:pPr>
      <w:r>
        <w:t>Document control</w:t>
      </w:r>
    </w:p>
    <w:tbl>
      <w:tblPr>
        <w:tblStyle w:val="TableGrid"/>
        <w:tblW w:w="0" w:type="auto"/>
        <w:jc w:val="center"/>
        <w:tblLook w:val="04A0" w:firstRow="1" w:lastRow="0" w:firstColumn="1" w:lastColumn="0" w:noHBand="0" w:noVBand="1"/>
      </w:tblPr>
      <w:tblGrid>
        <w:gridCol w:w="4992"/>
        <w:gridCol w:w="4992"/>
      </w:tblGrid>
      <w:tr w:rsidR="00066642" w14:paraId="2261CA9F" w14:textId="77777777">
        <w:trPr>
          <w:jc w:val="center"/>
        </w:trPr>
        <w:tc>
          <w:tcPr>
            <w:tcW w:w="4997" w:type="dxa"/>
            <w:shd w:val="clear" w:color="auto" w:fill="F3F5F7"/>
            <w:tcMar>
              <w:top w:w="100" w:type="dxa"/>
              <w:left w:w="120" w:type="dxa"/>
              <w:bottom w:w="100" w:type="dxa"/>
              <w:right w:w="120" w:type="dxa"/>
            </w:tcMar>
          </w:tcPr>
          <w:p w14:paraId="323FB8F6" w14:textId="77777777" w:rsidR="00066642" w:rsidRDefault="00131870">
            <w:pPr>
              <w:rPr>
                <w:rFonts w:hint="eastAsia"/>
              </w:rPr>
            </w:pPr>
            <w:r>
              <w:rPr>
                <w:b/>
              </w:rPr>
              <w:t>Document owner</w:t>
            </w:r>
          </w:p>
        </w:tc>
        <w:tc>
          <w:tcPr>
            <w:tcW w:w="4997" w:type="dxa"/>
            <w:tcMar>
              <w:top w:w="100" w:type="dxa"/>
              <w:left w:w="120" w:type="dxa"/>
              <w:bottom w:w="100" w:type="dxa"/>
              <w:right w:w="120" w:type="dxa"/>
            </w:tcMar>
          </w:tcPr>
          <w:p w14:paraId="51A78338" w14:textId="77777777" w:rsidR="00066642" w:rsidRDefault="00131870">
            <w:pPr>
              <w:rPr>
                <w:rFonts w:hint="eastAsia"/>
              </w:rPr>
            </w:pPr>
            <w:r>
              <w:t>Society Board/Council</w:t>
            </w:r>
          </w:p>
        </w:tc>
      </w:tr>
      <w:tr w:rsidR="00066642" w14:paraId="0957F0EF" w14:textId="77777777">
        <w:trPr>
          <w:jc w:val="center"/>
        </w:trPr>
        <w:tc>
          <w:tcPr>
            <w:tcW w:w="4997" w:type="dxa"/>
            <w:shd w:val="clear" w:color="auto" w:fill="F3F5F7"/>
            <w:tcMar>
              <w:top w:w="100" w:type="dxa"/>
              <w:left w:w="120" w:type="dxa"/>
              <w:bottom w:w="100" w:type="dxa"/>
              <w:right w:w="120" w:type="dxa"/>
            </w:tcMar>
          </w:tcPr>
          <w:p w14:paraId="1CA6EFFC" w14:textId="77777777" w:rsidR="00066642" w:rsidRDefault="00131870">
            <w:pPr>
              <w:rPr>
                <w:rFonts w:hint="eastAsia"/>
              </w:rPr>
            </w:pPr>
            <w:r>
              <w:rPr>
                <w:b/>
              </w:rPr>
              <w:t>Document type</w:t>
            </w:r>
          </w:p>
        </w:tc>
        <w:tc>
          <w:tcPr>
            <w:tcW w:w="4997" w:type="dxa"/>
            <w:tcMar>
              <w:top w:w="100" w:type="dxa"/>
              <w:left w:w="120" w:type="dxa"/>
              <w:bottom w:w="100" w:type="dxa"/>
              <w:right w:w="120" w:type="dxa"/>
            </w:tcMar>
          </w:tcPr>
          <w:p w14:paraId="4B514F31" w14:textId="77777777" w:rsidR="00066642" w:rsidRDefault="00131870">
            <w:pPr>
              <w:rPr>
                <w:rFonts w:hint="eastAsia"/>
              </w:rPr>
            </w:pPr>
            <w:r>
              <w:t>Governance and Professional Standards</w:t>
            </w:r>
          </w:p>
        </w:tc>
      </w:tr>
      <w:tr w:rsidR="00066642" w14:paraId="6F94340E" w14:textId="77777777">
        <w:trPr>
          <w:jc w:val="center"/>
        </w:trPr>
        <w:tc>
          <w:tcPr>
            <w:tcW w:w="4997" w:type="dxa"/>
            <w:shd w:val="clear" w:color="auto" w:fill="F3F5F7"/>
            <w:tcMar>
              <w:top w:w="100" w:type="dxa"/>
              <w:left w:w="120" w:type="dxa"/>
              <w:bottom w:w="100" w:type="dxa"/>
              <w:right w:w="120" w:type="dxa"/>
            </w:tcMar>
          </w:tcPr>
          <w:p w14:paraId="0DC2A40B" w14:textId="77777777" w:rsidR="00066642" w:rsidRDefault="00131870">
            <w:pPr>
              <w:rPr>
                <w:rFonts w:hint="eastAsia"/>
              </w:rPr>
            </w:pPr>
            <w:r>
              <w:rPr>
                <w:b/>
              </w:rPr>
              <w:t>Version</w:t>
            </w:r>
          </w:p>
        </w:tc>
        <w:tc>
          <w:tcPr>
            <w:tcW w:w="4997" w:type="dxa"/>
            <w:tcMar>
              <w:top w:w="100" w:type="dxa"/>
              <w:left w:w="120" w:type="dxa"/>
              <w:bottom w:w="100" w:type="dxa"/>
              <w:right w:w="120" w:type="dxa"/>
            </w:tcMar>
          </w:tcPr>
          <w:p w14:paraId="7F1BFBB4" w14:textId="77777777" w:rsidR="00066642" w:rsidRDefault="00131870">
            <w:pPr>
              <w:rPr>
                <w:rFonts w:hint="eastAsia"/>
              </w:rPr>
            </w:pPr>
            <w:r>
              <w:t>1.0</w:t>
            </w:r>
          </w:p>
        </w:tc>
      </w:tr>
      <w:tr w:rsidR="00066642" w14:paraId="51AF9576" w14:textId="77777777">
        <w:trPr>
          <w:jc w:val="center"/>
        </w:trPr>
        <w:tc>
          <w:tcPr>
            <w:tcW w:w="4997" w:type="dxa"/>
            <w:shd w:val="clear" w:color="auto" w:fill="F3F5F7"/>
            <w:tcMar>
              <w:top w:w="100" w:type="dxa"/>
              <w:left w:w="120" w:type="dxa"/>
              <w:bottom w:w="100" w:type="dxa"/>
              <w:right w:w="120" w:type="dxa"/>
            </w:tcMar>
          </w:tcPr>
          <w:p w14:paraId="239DED1B" w14:textId="77777777" w:rsidR="00066642" w:rsidRDefault="00131870">
            <w:pPr>
              <w:rPr>
                <w:rFonts w:hint="eastAsia"/>
              </w:rPr>
            </w:pPr>
            <w:r>
              <w:rPr>
                <w:b/>
              </w:rPr>
              <w:t>Approval date</w:t>
            </w:r>
          </w:p>
        </w:tc>
        <w:tc>
          <w:tcPr>
            <w:tcW w:w="4997" w:type="dxa"/>
            <w:tcMar>
              <w:top w:w="100" w:type="dxa"/>
              <w:left w:w="120" w:type="dxa"/>
              <w:bottom w:w="100" w:type="dxa"/>
              <w:right w:w="120" w:type="dxa"/>
            </w:tcMar>
          </w:tcPr>
          <w:p w14:paraId="7C9DED90" w14:textId="77777777" w:rsidR="00066642" w:rsidRDefault="00131870">
            <w:pPr>
              <w:rPr>
                <w:rFonts w:hint="eastAsia"/>
              </w:rPr>
            </w:pPr>
            <w:r>
              <w:t>[Insert date]</w:t>
            </w:r>
          </w:p>
        </w:tc>
      </w:tr>
      <w:tr w:rsidR="00066642" w14:paraId="1BD301E0" w14:textId="77777777">
        <w:trPr>
          <w:jc w:val="center"/>
        </w:trPr>
        <w:tc>
          <w:tcPr>
            <w:tcW w:w="4997" w:type="dxa"/>
            <w:shd w:val="clear" w:color="auto" w:fill="F3F5F7"/>
            <w:tcMar>
              <w:top w:w="100" w:type="dxa"/>
              <w:left w:w="120" w:type="dxa"/>
              <w:bottom w:w="100" w:type="dxa"/>
              <w:right w:w="120" w:type="dxa"/>
            </w:tcMar>
          </w:tcPr>
          <w:p w14:paraId="5805BC4A" w14:textId="77777777" w:rsidR="00066642" w:rsidRDefault="00131870">
            <w:pPr>
              <w:rPr>
                <w:rFonts w:hint="eastAsia"/>
              </w:rPr>
            </w:pPr>
            <w:r>
              <w:rPr>
                <w:b/>
              </w:rPr>
              <w:t>Next review</w:t>
            </w:r>
          </w:p>
        </w:tc>
        <w:tc>
          <w:tcPr>
            <w:tcW w:w="4997" w:type="dxa"/>
            <w:tcMar>
              <w:top w:w="100" w:type="dxa"/>
              <w:left w:w="120" w:type="dxa"/>
              <w:bottom w:w="100" w:type="dxa"/>
              <w:right w:w="120" w:type="dxa"/>
            </w:tcMar>
          </w:tcPr>
          <w:p w14:paraId="6F15365A" w14:textId="77777777" w:rsidR="00066642" w:rsidRDefault="00131870">
            <w:pPr>
              <w:rPr>
                <w:rFonts w:hint="eastAsia"/>
              </w:rPr>
            </w:pPr>
            <w:r>
              <w:t>[Insert date]</w:t>
            </w:r>
          </w:p>
        </w:tc>
      </w:tr>
      <w:tr w:rsidR="00066642" w14:paraId="62983842" w14:textId="77777777">
        <w:trPr>
          <w:jc w:val="center"/>
        </w:trPr>
        <w:tc>
          <w:tcPr>
            <w:tcW w:w="4997" w:type="dxa"/>
            <w:shd w:val="clear" w:color="auto" w:fill="F3F5F7"/>
            <w:tcMar>
              <w:top w:w="100" w:type="dxa"/>
              <w:left w:w="120" w:type="dxa"/>
              <w:bottom w:w="100" w:type="dxa"/>
              <w:right w:w="120" w:type="dxa"/>
            </w:tcMar>
          </w:tcPr>
          <w:p w14:paraId="08FBA680" w14:textId="77777777" w:rsidR="00066642" w:rsidRDefault="00131870">
            <w:pPr>
              <w:rPr>
                <w:rFonts w:hint="eastAsia"/>
              </w:rPr>
            </w:pPr>
            <w:r>
              <w:rPr>
                <w:b/>
              </w:rPr>
              <w:t>Related documents</w:t>
            </w:r>
          </w:p>
        </w:tc>
        <w:tc>
          <w:tcPr>
            <w:tcW w:w="4997" w:type="dxa"/>
            <w:tcMar>
              <w:top w:w="100" w:type="dxa"/>
              <w:left w:w="120" w:type="dxa"/>
              <w:bottom w:w="100" w:type="dxa"/>
              <w:right w:w="120" w:type="dxa"/>
            </w:tcMar>
          </w:tcPr>
          <w:p w14:paraId="392F31DA" w14:textId="77777777" w:rsidR="00066642" w:rsidRDefault="00131870">
            <w:pPr>
              <w:rPr>
                <w:rFonts w:hint="eastAsia"/>
              </w:rPr>
            </w:pPr>
            <w:r>
              <w:t xml:space="preserve">Constitution; Membership Policy; Complaints, Investigation and </w:t>
            </w:r>
            <w:r>
              <w:t>Disciplinary Policy; CPD Policy; Logo and Post-nominal Use Policy</w:t>
            </w:r>
          </w:p>
        </w:tc>
      </w:tr>
    </w:tbl>
    <w:p w14:paraId="04B3216F" w14:textId="77777777" w:rsidR="00131870" w:rsidRDefault="00131870"/>
    <w:sectPr w:rsidR="00000000" w:rsidSect="00034616">
      <w:headerReference w:type="default" r:id="rId9"/>
      <w:footerReference w:type="default" r:id="rId10"/>
      <w:pgSz w:w="12240" w:h="15840"/>
      <w:pgMar w:top="1080" w:right="1123" w:bottom="1008" w:left="1123" w:header="31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BF788" w14:textId="77777777" w:rsidR="00131870" w:rsidRDefault="00131870">
      <w:pPr>
        <w:spacing w:after="0" w:line="240" w:lineRule="auto"/>
        <w:rPr>
          <w:rFonts w:hint="eastAsia"/>
        </w:rPr>
      </w:pPr>
      <w:r>
        <w:separator/>
      </w:r>
    </w:p>
  </w:endnote>
  <w:endnote w:type="continuationSeparator" w:id="0">
    <w:p w14:paraId="5EFB8482" w14:textId="77777777" w:rsidR="00131870" w:rsidRDefault="0013187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4ECFC" w14:textId="77777777" w:rsidR="00066642" w:rsidRDefault="00131870">
    <w:pPr>
      <w:pStyle w:val="Footer"/>
      <w:jc w:val="center"/>
      <w:rPr>
        <w:rFonts w:hint="eastAsia"/>
      </w:rPr>
    </w:pPr>
    <w:r>
      <w:rPr>
        <w:color w:val="4B5563"/>
        <w:sz w:val="16"/>
      </w:rPr>
      <w:t xml:space="preserve">Society of Podiatric Medicine and Surgery  •  Professional Standards  •  Page </w:t>
    </w: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29B85" w14:textId="77777777" w:rsidR="00131870" w:rsidRDefault="00131870">
      <w:pPr>
        <w:spacing w:after="0" w:line="240" w:lineRule="auto"/>
        <w:rPr>
          <w:rFonts w:hint="eastAsia"/>
        </w:rPr>
      </w:pPr>
      <w:r>
        <w:separator/>
      </w:r>
    </w:p>
  </w:footnote>
  <w:footnote w:type="continuationSeparator" w:id="0">
    <w:p w14:paraId="0A2F519A" w14:textId="77777777" w:rsidR="00131870" w:rsidRDefault="00131870">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02A77" w14:textId="77777777" w:rsidR="00066642" w:rsidRDefault="00066642">
    <w:pPr>
      <w:pStyle w:val="Header"/>
      <w:rPr>
        <w:rFonts w:hint="eastAsia"/>
      </w:rPr>
    </w:pPr>
  </w:p>
  <w:tbl>
    <w:tblPr>
      <w:tblW w:w="0" w:type="auto"/>
      <w:tblInd w:w="-220" w:type="dxa"/>
      <w:tblLook w:val="04A0" w:firstRow="1" w:lastRow="0" w:firstColumn="1" w:lastColumn="0" w:noHBand="0" w:noVBand="1"/>
    </w:tblPr>
    <w:tblGrid>
      <w:gridCol w:w="1050"/>
      <w:gridCol w:w="8944"/>
    </w:tblGrid>
    <w:tr w:rsidR="00066642" w14:paraId="0CD86D3E" w14:textId="77777777">
      <w:tc>
        <w:tcPr>
          <w:tcW w:w="1050" w:type="dxa"/>
          <w:tcMar>
            <w:top w:w="0" w:type="dxa"/>
            <w:left w:w="0" w:type="dxa"/>
            <w:bottom w:w="0" w:type="dxa"/>
            <w:right w:w="0" w:type="dxa"/>
          </w:tcMar>
        </w:tcPr>
        <w:p w14:paraId="43A9D0B3" w14:textId="77777777" w:rsidR="00066642" w:rsidRDefault="00131870">
          <w:pPr>
            <w:spacing w:after="0"/>
            <w:rPr>
              <w:rFonts w:hint="eastAsia"/>
            </w:rPr>
          </w:pPr>
          <w:r>
            <w:rPr>
              <w:noProof/>
            </w:rPr>
            <w:drawing>
              <wp:inline distT="0" distB="0" distL="0" distR="0" wp14:anchorId="18D1B31B" wp14:editId="3FD0C815">
                <wp:extent cx="548640" cy="548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stralian_podiatric_medicine_emblem.png"/>
                        <pic:cNvPicPr/>
                      </pic:nvPicPr>
                      <pic:blipFill>
                        <a:blip r:embed="rId1"/>
                        <a:stretch>
                          <a:fillRect/>
                        </a:stretch>
                      </pic:blipFill>
                      <pic:spPr>
                        <a:xfrm>
                          <a:off x="0" y="0"/>
                          <a:ext cx="548640" cy="548640"/>
                        </a:xfrm>
                        <a:prstGeom prst="rect">
                          <a:avLst/>
                        </a:prstGeom>
                      </pic:spPr>
                    </pic:pic>
                  </a:graphicData>
                </a:graphic>
              </wp:inline>
            </w:drawing>
          </w:r>
        </w:p>
      </w:tc>
      <w:tc>
        <w:tcPr>
          <w:tcW w:w="8944" w:type="dxa"/>
        </w:tcPr>
        <w:p w14:paraId="64B84914" w14:textId="77777777" w:rsidR="00066642" w:rsidRDefault="00131870">
          <w:pPr>
            <w:pBdr>
              <w:bottom w:val="single" w:sz="8" w:space="4" w:color="B18F41"/>
            </w:pBdr>
            <w:spacing w:after="0"/>
            <w:jc w:val="right"/>
            <w:rPr>
              <w:rFonts w:hint="eastAsia"/>
            </w:rPr>
          </w:pPr>
          <w:r>
            <w:rPr>
              <w:b/>
              <w:color w:val="122E4A"/>
              <w:sz w:val="16"/>
            </w:rPr>
            <w:t>CODE OF CONDUCT &amp; PROFESSIONAL STANDARDS</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6181389">
    <w:abstractNumId w:val="8"/>
  </w:num>
  <w:num w:numId="2" w16cid:durableId="1924099048">
    <w:abstractNumId w:val="6"/>
  </w:num>
  <w:num w:numId="3" w16cid:durableId="1350179590">
    <w:abstractNumId w:val="5"/>
  </w:num>
  <w:num w:numId="4" w16cid:durableId="989866416">
    <w:abstractNumId w:val="4"/>
  </w:num>
  <w:num w:numId="5" w16cid:durableId="1936983884">
    <w:abstractNumId w:val="7"/>
  </w:num>
  <w:num w:numId="6" w16cid:durableId="358972265">
    <w:abstractNumId w:val="3"/>
  </w:num>
  <w:num w:numId="7" w16cid:durableId="377434908">
    <w:abstractNumId w:val="2"/>
  </w:num>
  <w:num w:numId="8" w16cid:durableId="48311576">
    <w:abstractNumId w:val="1"/>
  </w:num>
  <w:num w:numId="9" w16cid:durableId="527335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6642"/>
    <w:rsid w:val="00131870"/>
    <w:rsid w:val="0015074B"/>
    <w:rsid w:val="0029639D"/>
    <w:rsid w:val="00326F90"/>
    <w:rsid w:val="007A4C0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350E91"/>
  <w14:defaultImageDpi w14:val="300"/>
  <w15:docId w15:val="{B22A47B4-800D-44F5-A58E-B8894A39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1F2937"/>
      <w:sz w:val="21"/>
    </w:rPr>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b/>
      <w:bCs/>
      <w:color w:val="122E4A"/>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B18F41"/>
      <w:sz w:val="26"/>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122E4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color w:val="122E4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Caps">
    <w:name w:val="Small Caps"/>
    <w:rPr>
      <w:rFonts w:ascii="Aptos" w:hAnsi="Aptos"/>
      <w:b/>
      <w:color w:val="B18F41"/>
      <w:sz w:val="17"/>
    </w:rPr>
  </w:style>
  <w:style w:type="paragraph" w:customStyle="1" w:styleId="SourceNote">
    <w:name w:val="Source Note"/>
    <w:rPr>
      <w:rFonts w:ascii="Aptos" w:hAnsi="Aptos"/>
      <w:color w:val="4B5563"/>
      <w:sz w:val="17"/>
    </w:rPr>
  </w:style>
  <w:style w:type="paragraph" w:customStyle="1" w:styleId="Callout">
    <w:name w:val="Callout"/>
    <w:rPr>
      <w:rFonts w:ascii="Aptos" w:hAnsi="Aptos"/>
      <w:color w:val="1F2937"/>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4605</Words>
  <Characters>26250</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30794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and Professional Standards for Members of the Society</dc:title>
  <dc:subject>Professional standards for members of the Society of Podiatric Medicine and Surgery</dc:subject>
  <dc:creator>python-docx</dc:creator>
  <cp:keywords>podiatry, professional standards, code of conduct, Podiatric Specialist, Society</cp:keywords>
  <dc:description>Prepared as a Society governance document aligned to current Ahpra and Podiatry Board regulatory expectations.</dc:description>
  <cp:lastModifiedBy>omar baarini</cp:lastModifiedBy>
  <cp:revision>2</cp:revision>
  <dcterms:created xsi:type="dcterms:W3CDTF">2026-09-24T12:37:00Z</dcterms:created>
  <dcterms:modified xsi:type="dcterms:W3CDTF">2026-09-24T12:37:00Z</dcterms:modified>
  <cp:category/>
</cp:coreProperties>
</file>